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18EF7" w14:textId="77777777" w:rsidR="008772EF" w:rsidRDefault="008772EF" w:rsidP="008772EF">
      <w:pPr>
        <w:framePr w:w="1887" w:h="1435" w:hRule="exact" w:hSpace="240" w:vSpace="240" w:wrap="auto" w:vAnchor="text" w:hAnchor="margin" w:x="-407" w:y="46"/>
        <w:pBdr>
          <w:top w:val="single" w:sz="6" w:space="0" w:color="FFFFFF"/>
          <w:left w:val="single" w:sz="6" w:space="0" w:color="FFFFFF"/>
          <w:bottom w:val="single" w:sz="6" w:space="0" w:color="FFFFFF"/>
          <w:right w:val="single" w:sz="6" w:space="0" w:color="FFFFFF"/>
        </w:pBdr>
      </w:pPr>
      <w:bookmarkStart w:id="0" w:name="_GoBack"/>
      <w:bookmarkEnd w:id="0"/>
      <w:r>
        <w:rPr>
          <w:noProof/>
        </w:rPr>
        <w:drawing>
          <wp:inline distT="0" distB="0" distL="0" distR="0" wp14:anchorId="28D7137D" wp14:editId="5E135E6D">
            <wp:extent cx="12001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5004" t="-208" r="-15004" b="-208"/>
                    <a:stretch>
                      <a:fillRect/>
                    </a:stretch>
                  </pic:blipFill>
                  <pic:spPr bwMode="auto">
                    <a:xfrm>
                      <a:off x="0" y="0"/>
                      <a:ext cx="1200150" cy="914400"/>
                    </a:xfrm>
                    <a:prstGeom prst="rect">
                      <a:avLst/>
                    </a:prstGeom>
                    <a:noFill/>
                    <a:ln>
                      <a:noFill/>
                    </a:ln>
                  </pic:spPr>
                </pic:pic>
              </a:graphicData>
            </a:graphic>
          </wp:inline>
        </w:drawing>
      </w:r>
    </w:p>
    <w:p w14:paraId="0E4673B9" w14:textId="77777777" w:rsidR="008772EF" w:rsidRPr="002E2C85" w:rsidRDefault="008772EF" w:rsidP="008772EF">
      <w:pPr>
        <w:widowControl/>
        <w:tabs>
          <w:tab w:val="left" w:pos="-1507"/>
          <w:tab w:val="right" w:pos="7852"/>
        </w:tabs>
      </w:pPr>
      <w:bookmarkStart w:id="1" w:name="QuickMark"/>
      <w:bookmarkEnd w:id="1"/>
    </w:p>
    <w:p w14:paraId="3FD23974" w14:textId="02FB4F13" w:rsidR="008772EF" w:rsidRPr="002E2C85" w:rsidRDefault="008772EF" w:rsidP="00305FCF">
      <w:pPr>
        <w:widowControl/>
        <w:tabs>
          <w:tab w:val="left" w:pos="-1507"/>
          <w:tab w:val="right" w:pos="7852"/>
        </w:tabs>
        <w:jc w:val="center"/>
      </w:pPr>
      <w:r>
        <w:t>Un</w:t>
      </w:r>
      <w:r w:rsidRPr="002E2C85">
        <w:t>ited States of America</w:t>
      </w:r>
    </w:p>
    <w:p w14:paraId="7EF2E849" w14:textId="7E152E24" w:rsidR="008772EF" w:rsidRPr="002E2C85" w:rsidRDefault="008772EF" w:rsidP="00305FCF">
      <w:pPr>
        <w:widowControl/>
        <w:tabs>
          <w:tab w:val="left" w:pos="-1507"/>
          <w:tab w:val="right" w:pos="7852"/>
        </w:tabs>
        <w:jc w:val="center"/>
      </w:pPr>
      <w:r w:rsidRPr="002E2C85">
        <w:rPr>
          <w:b/>
          <w:bCs/>
        </w:rPr>
        <w:t>OCCUPATIONAL SAFETY AND HEALTH REVIEW COMMISSION</w:t>
      </w:r>
    </w:p>
    <w:p w14:paraId="47C62DDB" w14:textId="0D981BA9" w:rsidR="008772EF" w:rsidRPr="002E2C85" w:rsidRDefault="008772EF" w:rsidP="00305FCF">
      <w:pPr>
        <w:widowControl/>
        <w:tabs>
          <w:tab w:val="left" w:pos="-1507"/>
          <w:tab w:val="right" w:pos="7852"/>
        </w:tabs>
        <w:jc w:val="center"/>
      </w:pPr>
      <w:r w:rsidRPr="002E2C85">
        <w:t>1120 20th Street, N.W., Ninth Floor</w:t>
      </w:r>
    </w:p>
    <w:p w14:paraId="18DA15C9" w14:textId="6B57907F" w:rsidR="008772EF" w:rsidRPr="002E2C85" w:rsidRDefault="008772EF" w:rsidP="00305FCF">
      <w:pPr>
        <w:widowControl/>
        <w:tabs>
          <w:tab w:val="left" w:pos="-1507"/>
          <w:tab w:val="right" w:pos="7852"/>
        </w:tabs>
        <w:jc w:val="center"/>
      </w:pPr>
      <w:r w:rsidRPr="002E2C85">
        <w:t>Washington, DC 20036-</w:t>
      </w:r>
      <w:r w:rsidR="00731818">
        <w:t>3457</w:t>
      </w:r>
    </w:p>
    <w:p w14:paraId="018270BA" w14:textId="77777777" w:rsidR="008772EF" w:rsidRPr="002E2C85" w:rsidRDefault="008772EF" w:rsidP="008772EF">
      <w:pPr>
        <w:widowControl/>
        <w:tabs>
          <w:tab w:val="left" w:pos="-1507"/>
          <w:tab w:val="right" w:pos="7852"/>
        </w:tabs>
      </w:pPr>
    </w:p>
    <w:p w14:paraId="042B4599" w14:textId="77777777" w:rsidR="008772EF" w:rsidRPr="002E2C85" w:rsidRDefault="008772EF" w:rsidP="008772EF">
      <w:pPr>
        <w:widowControl/>
        <w:tabs>
          <w:tab w:val="left" w:pos="-1507"/>
          <w:tab w:val="right" w:pos="7852"/>
        </w:tabs>
      </w:pPr>
    </w:p>
    <w:p w14:paraId="0B19B0A4" w14:textId="77777777" w:rsidR="008772EF" w:rsidRDefault="008772EF" w:rsidP="008772EF">
      <w:pPr>
        <w:widowControl/>
        <w:tabs>
          <w:tab w:val="left" w:pos="-1507"/>
          <w:tab w:val="right" w:pos="7852"/>
        </w:tabs>
        <w:rPr>
          <w:rFonts w:ascii="Sakkal Majalla" w:hAnsi="Sakkal Majalla" w:cs="Sakkal Majalla"/>
          <w:sz w:val="16"/>
          <w:szCs w:val="16"/>
        </w:rPr>
      </w:pPr>
    </w:p>
    <w:p w14:paraId="739A2912" w14:textId="3CC48F5B" w:rsidR="008772EF" w:rsidRPr="002E2C85" w:rsidRDefault="008772EF" w:rsidP="008772EF">
      <w:pPr>
        <w:widowControl/>
        <w:tabs>
          <w:tab w:val="left" w:pos="-792"/>
          <w:tab w:val="right" w:pos="9918"/>
        </w:tabs>
      </w:pPr>
      <w:r w:rsidRPr="002E2C85">
        <w:t>Phone</w:t>
      </w:r>
      <w:r w:rsidR="00116675" w:rsidRPr="002E2C85">
        <w:t>: (</w:t>
      </w:r>
      <w:r w:rsidRPr="002E2C85">
        <w:t>202) 606-5405</w:t>
      </w:r>
      <w:r w:rsidRPr="002E2C85">
        <w:tab/>
        <w:t>Fax</w:t>
      </w:r>
      <w:r w:rsidR="00116675" w:rsidRPr="002E2C85">
        <w:t>: (</w:t>
      </w:r>
      <w:r w:rsidRPr="002E2C85">
        <w:t>202)</w:t>
      </w:r>
      <w:r w:rsidR="00731818">
        <w:t xml:space="preserve"> </w:t>
      </w:r>
      <w:r w:rsidRPr="002E2C85">
        <w:t>606-5409</w:t>
      </w:r>
    </w:p>
    <w:p w14:paraId="7C269FE3" w14:textId="77777777" w:rsidR="008772EF" w:rsidRPr="002E2C85" w:rsidRDefault="008772EF" w:rsidP="008772EF">
      <w:pPr>
        <w:widowControl/>
        <w:tabs>
          <w:tab w:val="left" w:pos="-792"/>
          <w:tab w:val="right" w:pos="9018"/>
        </w:tabs>
      </w:pPr>
    </w:p>
    <w:p w14:paraId="70D0BFB9" w14:textId="77777777" w:rsidR="008772EF" w:rsidRPr="002E2C85" w:rsidRDefault="008772EF" w:rsidP="008772EF">
      <w:pPr>
        <w:widowControl/>
        <w:tabs>
          <w:tab w:val="left" w:pos="-792"/>
          <w:tab w:val="right" w:pos="9018"/>
        </w:tabs>
      </w:pPr>
    </w:p>
    <w:p w14:paraId="13580A94" w14:textId="52161159" w:rsidR="008772EF" w:rsidRPr="008772EF" w:rsidRDefault="008772EF" w:rsidP="008772EF">
      <w:pPr>
        <w:widowControl/>
        <w:tabs>
          <w:tab w:val="center" w:pos="4968"/>
          <w:tab w:val="right" w:pos="9018"/>
        </w:tabs>
        <w:rPr>
          <w:b/>
          <w:bCs/>
          <w:sz w:val="28"/>
          <w:szCs w:val="28"/>
        </w:rPr>
      </w:pPr>
      <w:r w:rsidRPr="008772EF">
        <w:rPr>
          <w:sz w:val="28"/>
          <w:szCs w:val="28"/>
        </w:rPr>
        <w:tab/>
      </w:r>
      <w:r w:rsidRPr="008772EF">
        <w:rPr>
          <w:b/>
          <w:bCs/>
          <w:sz w:val="28"/>
          <w:szCs w:val="28"/>
        </w:rPr>
        <w:t xml:space="preserve">Notice of </w:t>
      </w:r>
      <w:r w:rsidR="00CC1B0A">
        <w:rPr>
          <w:b/>
          <w:bCs/>
          <w:sz w:val="28"/>
          <w:szCs w:val="28"/>
        </w:rPr>
        <w:t>D</w:t>
      </w:r>
      <w:r w:rsidRPr="008772EF">
        <w:rPr>
          <w:b/>
          <w:bCs/>
          <w:sz w:val="28"/>
          <w:szCs w:val="28"/>
        </w:rPr>
        <w:t>ecision</w:t>
      </w:r>
    </w:p>
    <w:p w14:paraId="339A98AC" w14:textId="77777777" w:rsidR="008772EF" w:rsidRPr="002E2C85" w:rsidRDefault="008772EF" w:rsidP="008772EF">
      <w:pPr>
        <w:widowControl/>
        <w:tabs>
          <w:tab w:val="left" w:pos="-792"/>
          <w:tab w:val="right" w:pos="9018"/>
        </w:tabs>
        <w:rPr>
          <w:b/>
          <w:bCs/>
        </w:rPr>
      </w:pPr>
    </w:p>
    <w:p w14:paraId="4CDFCE35" w14:textId="77777777" w:rsidR="008772EF" w:rsidRPr="002E2C85" w:rsidRDefault="008772EF" w:rsidP="008772EF">
      <w:pPr>
        <w:widowControl/>
        <w:tabs>
          <w:tab w:val="left" w:pos="-792"/>
          <w:tab w:val="right" w:pos="9018"/>
        </w:tabs>
      </w:pPr>
      <w:r w:rsidRPr="002E2C85">
        <w:rPr>
          <w:b/>
          <w:bCs/>
        </w:rPr>
        <w:t>In Reference To:</w:t>
      </w:r>
    </w:p>
    <w:p w14:paraId="40F6AB49" w14:textId="77777777" w:rsidR="008772EF" w:rsidRPr="002E2C85" w:rsidRDefault="008772EF" w:rsidP="008772EF">
      <w:pPr>
        <w:widowControl/>
        <w:tabs>
          <w:tab w:val="left" w:pos="-792"/>
          <w:tab w:val="right" w:pos="9018"/>
        </w:tabs>
      </w:pPr>
    </w:p>
    <w:p w14:paraId="5215D5CD" w14:textId="77777777" w:rsidR="008772EF" w:rsidRPr="002E2C85" w:rsidRDefault="008772EF" w:rsidP="008772EF">
      <w:pPr>
        <w:widowControl/>
        <w:tabs>
          <w:tab w:val="left" w:pos="-792"/>
          <w:tab w:val="right" w:pos="9018"/>
        </w:tabs>
      </w:pPr>
      <w:r w:rsidRPr="002E2C85">
        <w:rPr>
          <w:b/>
          <w:bCs/>
        </w:rPr>
        <w:t xml:space="preserve">Secretary of </w:t>
      </w:r>
      <w:r w:rsidRPr="00731818">
        <w:rPr>
          <w:b/>
          <w:bCs/>
        </w:rPr>
        <w:t>Labor</w:t>
      </w:r>
      <w:r w:rsidRPr="00AC103A">
        <w:rPr>
          <w:b/>
        </w:rPr>
        <w:t xml:space="preserve"> v.</w:t>
      </w:r>
      <w:bookmarkStart w:id="2" w:name="a1"/>
      <w:bookmarkEnd w:id="2"/>
      <w:r>
        <w:t xml:space="preserve">  </w:t>
      </w:r>
    </w:p>
    <w:p w14:paraId="14E200F9" w14:textId="77777777" w:rsidR="00CC1B0A" w:rsidRDefault="00CC1B0A" w:rsidP="008772EF">
      <w:pPr>
        <w:widowControl/>
        <w:tabs>
          <w:tab w:val="left" w:pos="-792"/>
          <w:tab w:val="right" w:pos="9018"/>
        </w:tabs>
        <w:rPr>
          <w:b/>
          <w:bCs/>
        </w:rPr>
      </w:pPr>
    </w:p>
    <w:p w14:paraId="2AB801D9" w14:textId="05C29530" w:rsidR="008772EF" w:rsidRPr="002E2C85" w:rsidRDefault="008772EF" w:rsidP="008772EF">
      <w:pPr>
        <w:widowControl/>
        <w:tabs>
          <w:tab w:val="left" w:pos="-792"/>
          <w:tab w:val="right" w:pos="9018"/>
        </w:tabs>
      </w:pPr>
      <w:r w:rsidRPr="002E2C85">
        <w:rPr>
          <w:b/>
          <w:bCs/>
        </w:rPr>
        <w:t>OSHRC Docket No</w:t>
      </w:r>
      <w:r w:rsidRPr="002E2C85">
        <w:t xml:space="preserve">. </w:t>
      </w:r>
      <w:bookmarkStart w:id="3" w:name="a2"/>
      <w:r w:rsidRPr="002E2C85">
        <w:t xml:space="preserve">       </w:t>
      </w:r>
      <w:bookmarkEnd w:id="3"/>
    </w:p>
    <w:p w14:paraId="702BBCA4" w14:textId="77777777" w:rsidR="008772EF" w:rsidRPr="002E2C85" w:rsidRDefault="008772EF" w:rsidP="008772EF">
      <w:pPr>
        <w:widowControl/>
        <w:tabs>
          <w:tab w:val="left" w:pos="-792"/>
          <w:tab w:val="right" w:pos="9018"/>
        </w:tabs>
      </w:pPr>
    </w:p>
    <w:p w14:paraId="35515D23" w14:textId="506B0022" w:rsidR="00B13EDC" w:rsidRDefault="008772EF" w:rsidP="00314142">
      <w:pPr>
        <w:pStyle w:val="ListParagraph"/>
        <w:numPr>
          <w:ilvl w:val="0"/>
          <w:numId w:val="2"/>
        </w:numPr>
        <w:jc w:val="both"/>
      </w:pPr>
      <w:r w:rsidRPr="002E2C85">
        <w:t xml:space="preserve">Enclosed is a copy of my </w:t>
      </w:r>
      <w:r w:rsidR="00CC1B0A">
        <w:t>d</w:t>
      </w:r>
      <w:r w:rsidR="00731F70" w:rsidRPr="002E2C85">
        <w:t>ecision</w:t>
      </w:r>
      <w:r w:rsidRPr="002E2C85">
        <w:t xml:space="preserve">.  </w:t>
      </w:r>
      <w:r w:rsidR="00777DB2">
        <w:t>Th</w:t>
      </w:r>
      <w:r w:rsidR="009E5D73">
        <w:t xml:space="preserve">e entire record, including this </w:t>
      </w:r>
      <w:r w:rsidR="00CC1B0A">
        <w:t>d</w:t>
      </w:r>
      <w:r w:rsidR="00731F70">
        <w:t>ecision</w:t>
      </w:r>
      <w:r w:rsidR="009E5D73">
        <w:t xml:space="preserve">, shall </w:t>
      </w:r>
      <w:r w:rsidR="002F2A2F">
        <w:t xml:space="preserve">constitute </w:t>
      </w:r>
      <w:r w:rsidR="009E5D73">
        <w:t xml:space="preserve">the report of this </w:t>
      </w:r>
      <w:r w:rsidR="002F2A2F">
        <w:t xml:space="preserve">Administrative </w:t>
      </w:r>
      <w:r w:rsidR="009E5D73">
        <w:t xml:space="preserve">Law Judge pursuant to section 12(j) of the Occupational Safety and Health Act of 1970 (the Act), 29 U.S.C. § 661(j).  The Judge’s report, </w:t>
      </w:r>
      <w:r w:rsidR="00930914">
        <w:t xml:space="preserve">which </w:t>
      </w:r>
      <w:r w:rsidR="00803039">
        <w:t xml:space="preserve">includes </w:t>
      </w:r>
      <w:r w:rsidR="009E5D73">
        <w:t xml:space="preserve">this </w:t>
      </w:r>
      <w:r w:rsidR="001E114B">
        <w:t>d</w:t>
      </w:r>
      <w:r w:rsidR="00731F70">
        <w:t>ecision</w:t>
      </w:r>
      <w:r w:rsidR="009E5D73">
        <w:t xml:space="preserve">, </w:t>
      </w:r>
      <w:r w:rsidR="00BE1982">
        <w:t>will</w:t>
      </w:r>
      <w:r w:rsidR="009E5D73">
        <w:t xml:space="preserve"> be filed with the Commission’s Executive Secretary on </w:t>
      </w:r>
      <w:r w:rsidR="009E5D73" w:rsidRPr="004925E1">
        <w:rPr>
          <w:b/>
        </w:rPr>
        <w:t>[date].</w:t>
      </w:r>
      <w:r w:rsidR="009E5D73">
        <w:t xml:space="preserve"> </w:t>
      </w:r>
      <w:r w:rsidR="00BE1982">
        <w:t xml:space="preserve"> </w:t>
      </w:r>
      <w:r w:rsidR="00B13EDC" w:rsidRPr="004925E1">
        <w:rPr>
          <w:i/>
        </w:rPr>
        <w:t xml:space="preserve">See </w:t>
      </w:r>
      <w:r w:rsidR="00B13EDC">
        <w:t>Commission Rule 90(b</w:t>
      </w:r>
      <w:r w:rsidR="00731818">
        <w:t xml:space="preserve">), </w:t>
      </w:r>
      <w:r w:rsidR="00B13EDC">
        <w:t>29 C.F.R.</w:t>
      </w:r>
      <w:r w:rsidR="00724BC9">
        <w:t xml:space="preserve"> </w:t>
      </w:r>
      <w:r w:rsidR="00B13EDC">
        <w:t>§ 2200.90(b).</w:t>
      </w:r>
      <w:r w:rsidR="00305FCF">
        <w:rPr>
          <w:rStyle w:val="FootnoteReference"/>
        </w:rPr>
        <w:footnoteReference w:id="1"/>
      </w:r>
      <w:r w:rsidR="002F2A2F" w:rsidRPr="002F2A2F">
        <w:t xml:space="preserve"> </w:t>
      </w:r>
      <w:r w:rsidR="002F2A2F">
        <w:t>T</w:t>
      </w:r>
      <w:r w:rsidR="002F2A2F" w:rsidRPr="002E2C85">
        <w:t xml:space="preserve">he Executive Secretary </w:t>
      </w:r>
      <w:r w:rsidR="002F2A2F">
        <w:t xml:space="preserve">will then issue a “Notice of Docketing of Administrative Law Judge’s </w:t>
      </w:r>
      <w:r w:rsidR="00CC1B0A">
        <w:t>D</w:t>
      </w:r>
      <w:r w:rsidR="002F2A2F">
        <w:t xml:space="preserve">ecision” that notifies all parties </w:t>
      </w:r>
      <w:r w:rsidR="002F2A2F" w:rsidRPr="002E2C85">
        <w:t xml:space="preserve">of the date </w:t>
      </w:r>
      <w:r w:rsidR="002F2A2F">
        <w:t>th</w:t>
      </w:r>
      <w:r w:rsidR="00803039">
        <w:t>at the Executive Secretary dockets the</w:t>
      </w:r>
      <w:r w:rsidR="002F2A2F">
        <w:t xml:space="preserve"> Judge’s report, and that will state the date by which </w:t>
      </w:r>
      <w:r w:rsidR="00803039">
        <w:t xml:space="preserve">a party must file </w:t>
      </w:r>
      <w:r w:rsidR="002F2A2F">
        <w:t>a petition for discretionary review</w:t>
      </w:r>
      <w:r w:rsidR="002F2A2F" w:rsidRPr="002E2C85">
        <w:t>.</w:t>
      </w:r>
    </w:p>
    <w:p w14:paraId="182DDC81" w14:textId="77777777" w:rsidR="00B13EDC" w:rsidRDefault="00B13EDC" w:rsidP="00B13EDC">
      <w:pPr>
        <w:pStyle w:val="ListParagraph"/>
      </w:pPr>
    </w:p>
    <w:p w14:paraId="6FDDF596" w14:textId="1E6A6854" w:rsidR="004925E1" w:rsidRDefault="004925E1" w:rsidP="00314142">
      <w:pPr>
        <w:pStyle w:val="ListParagraph"/>
        <w:numPr>
          <w:ilvl w:val="0"/>
          <w:numId w:val="2"/>
        </w:numPr>
        <w:jc w:val="both"/>
      </w:pPr>
      <w:r w:rsidRPr="00305FCF">
        <w:rPr>
          <w:i/>
        </w:rPr>
        <w:t xml:space="preserve">Commission </w:t>
      </w:r>
      <w:r w:rsidR="00CC1B0A">
        <w:rPr>
          <w:i/>
        </w:rPr>
        <w:t>f</w:t>
      </w:r>
      <w:r w:rsidRPr="00305FCF">
        <w:rPr>
          <w:i/>
        </w:rPr>
        <w:t xml:space="preserve">inal </w:t>
      </w:r>
      <w:r w:rsidR="00CC1B0A">
        <w:rPr>
          <w:i/>
        </w:rPr>
        <w:t>o</w:t>
      </w:r>
      <w:r w:rsidRPr="00305FCF">
        <w:rPr>
          <w:i/>
        </w:rPr>
        <w:t>rder.</w:t>
      </w:r>
      <w:r>
        <w:t xml:space="preserve">  The </w:t>
      </w:r>
      <w:r w:rsidR="00CC1B0A">
        <w:t>d</w:t>
      </w:r>
      <w:r w:rsidR="00731F70">
        <w:t xml:space="preserve">ecision </w:t>
      </w:r>
      <w:r>
        <w:t xml:space="preserve">shall become a final </w:t>
      </w:r>
      <w:r w:rsidR="00CC1B0A">
        <w:t>o</w:t>
      </w:r>
      <w:r>
        <w:t xml:space="preserve">rder of the Commission thirty (30) days from the date </w:t>
      </w:r>
      <w:r w:rsidR="00731F70">
        <w:t xml:space="preserve">the Executive Secretary dockets </w:t>
      </w:r>
      <w:r w:rsidR="00875905">
        <w:t>the</w:t>
      </w:r>
      <w:r w:rsidR="00731F70">
        <w:t xml:space="preserve"> </w:t>
      </w:r>
      <w:r w:rsidR="00CC1B0A">
        <w:t>d</w:t>
      </w:r>
      <w:r w:rsidR="00731F70">
        <w:t>ecision</w:t>
      </w:r>
      <w:r w:rsidR="00875905">
        <w:t>,</w:t>
      </w:r>
      <w:r>
        <w:t xml:space="preserve"> unless a Commission </w:t>
      </w:r>
      <w:r w:rsidR="00CC1B0A">
        <w:t>m</w:t>
      </w:r>
      <w:r>
        <w:t xml:space="preserve">ember </w:t>
      </w:r>
      <w:r w:rsidR="00731F70">
        <w:t xml:space="preserve">directs review of the Decision </w:t>
      </w:r>
      <w:r>
        <w:t xml:space="preserve">within that time.  </w:t>
      </w:r>
      <w:r w:rsidRPr="004925E1">
        <w:rPr>
          <w:i/>
        </w:rPr>
        <w:t>See</w:t>
      </w:r>
      <w:r>
        <w:t xml:space="preserve"> Section 12(j) of the Act; Commission Rule 90(f)</w:t>
      </w:r>
      <w:r w:rsidR="00731818">
        <w:t>,</w:t>
      </w:r>
      <w:r>
        <w:t xml:space="preserve"> 29 C.F.R. § 2200.90(f).  </w:t>
      </w:r>
      <w:r w:rsidR="00F10E9F">
        <w:t xml:space="preserve"> </w:t>
      </w:r>
    </w:p>
    <w:p w14:paraId="5B289FCA" w14:textId="77777777" w:rsidR="004925E1" w:rsidRDefault="004925E1" w:rsidP="004925E1">
      <w:pPr>
        <w:pStyle w:val="ListParagraph"/>
      </w:pPr>
    </w:p>
    <w:p w14:paraId="45C517CA" w14:textId="1A2D230B" w:rsidR="009E0228" w:rsidRPr="002E2C85" w:rsidRDefault="00BE1982" w:rsidP="00865619">
      <w:pPr>
        <w:pStyle w:val="ListParagraph"/>
        <w:widowControl/>
        <w:numPr>
          <w:ilvl w:val="0"/>
          <w:numId w:val="2"/>
        </w:numPr>
        <w:tabs>
          <w:tab w:val="left" w:pos="-792"/>
          <w:tab w:val="right" w:pos="9018"/>
        </w:tabs>
        <w:jc w:val="both"/>
      </w:pPr>
      <w:r w:rsidRPr="00305FCF">
        <w:rPr>
          <w:i/>
        </w:rPr>
        <w:t>Party adversely affected or aggrieved by the decision.</w:t>
      </w:r>
      <w:r>
        <w:t xml:space="preserve">  </w:t>
      </w:r>
      <w:r w:rsidR="00CC1B0A">
        <w:t xml:space="preserve">A party adversely affected or aggrieved by the decision </w:t>
      </w:r>
      <w:r w:rsidR="0095000B">
        <w:t>o</w:t>
      </w:r>
      <w:r w:rsidR="00CC1B0A">
        <w:t xml:space="preserve">f </w:t>
      </w:r>
      <w:r w:rsidR="0095000B">
        <w:t>the</w:t>
      </w:r>
      <w:r w:rsidR="00CC1B0A">
        <w:t xml:space="preserve"> Judge may seek review by the Commission by filing a petition for discretionary review with the Executive Secretary at any time following the service o</w:t>
      </w:r>
      <w:r w:rsidR="0095000B">
        <w:t>f</w:t>
      </w:r>
      <w:r w:rsidR="00CC1B0A">
        <w:t xml:space="preserve"> the </w:t>
      </w:r>
      <w:r w:rsidR="00865619">
        <w:t>J</w:t>
      </w:r>
      <w:r w:rsidR="00CC1B0A">
        <w:t xml:space="preserve">udge’s decision on the parties but no later than 20 days </w:t>
      </w:r>
      <w:r w:rsidR="00794ED1">
        <w:t>a</w:t>
      </w:r>
      <w:r w:rsidR="00CC1B0A">
        <w:t>fter the date of docketing of the Ju</w:t>
      </w:r>
      <w:r w:rsidR="001E114B">
        <w:t>d</w:t>
      </w:r>
      <w:r w:rsidR="00CC1B0A">
        <w:t>ge’s report.</w:t>
      </w:r>
      <w:r w:rsidR="00865619">
        <w:t xml:space="preserve">  </w:t>
      </w:r>
      <w:r w:rsidR="00865619">
        <w:rPr>
          <w:i/>
          <w:iCs/>
        </w:rPr>
        <w:t>See</w:t>
      </w:r>
      <w:r w:rsidR="00865619">
        <w:t xml:space="preserve"> </w:t>
      </w:r>
      <w:r w:rsidR="009E0228">
        <w:t>Commission Rule 91(b)</w:t>
      </w:r>
      <w:r w:rsidR="00731818">
        <w:t>,</w:t>
      </w:r>
      <w:r w:rsidR="009E0228">
        <w:t xml:space="preserve"> 29 C.F.R.</w:t>
      </w:r>
      <w:r w:rsidR="00724BC9">
        <w:t xml:space="preserve"> </w:t>
      </w:r>
      <w:r w:rsidR="009E0228">
        <w:t>§ 2200.91(b).</w:t>
      </w:r>
      <w:r w:rsidR="009E0228" w:rsidRPr="002E2C85">
        <w:t xml:space="preserve"> </w:t>
      </w:r>
      <w:r w:rsidR="00803039">
        <w:t xml:space="preserve"> </w:t>
      </w:r>
      <w:r w:rsidR="009E0228" w:rsidRPr="002E2C85">
        <w:t>The Executive Secretary's address is as follows:</w:t>
      </w:r>
      <w:r w:rsidR="00314142">
        <w:t xml:space="preserve">   </w:t>
      </w:r>
    </w:p>
    <w:p w14:paraId="352E6804" w14:textId="77777777" w:rsidR="009E0228" w:rsidRPr="002E2C85" w:rsidRDefault="009E0228" w:rsidP="009E0228">
      <w:pPr>
        <w:pStyle w:val="ListParagraph"/>
        <w:widowControl/>
        <w:tabs>
          <w:tab w:val="left" w:pos="-792"/>
          <w:tab w:val="right" w:pos="9018"/>
        </w:tabs>
        <w:jc w:val="both"/>
      </w:pPr>
    </w:p>
    <w:p w14:paraId="50592DCE" w14:textId="77777777" w:rsidR="009E0228" w:rsidRPr="009E0228" w:rsidRDefault="009E0228" w:rsidP="00305FCF">
      <w:pPr>
        <w:pStyle w:val="ListParagraph"/>
        <w:widowControl/>
        <w:tabs>
          <w:tab w:val="left" w:pos="-792"/>
          <w:tab w:val="right" w:pos="9018"/>
        </w:tabs>
        <w:ind w:left="1530"/>
        <w:rPr>
          <w:b/>
          <w:bCs/>
        </w:rPr>
      </w:pPr>
      <w:r w:rsidRPr="009E0228">
        <w:rPr>
          <w:b/>
          <w:bCs/>
        </w:rPr>
        <w:t>Executive Secretary</w:t>
      </w:r>
    </w:p>
    <w:p w14:paraId="771D0570" w14:textId="06CAACEF" w:rsidR="009E0228" w:rsidRPr="00AC5B35" w:rsidRDefault="009E0228" w:rsidP="00305FCF">
      <w:pPr>
        <w:pStyle w:val="ListParagraph"/>
        <w:widowControl/>
        <w:tabs>
          <w:tab w:val="left" w:pos="-792"/>
          <w:tab w:val="right" w:pos="9018"/>
        </w:tabs>
        <w:ind w:left="1530"/>
        <w:rPr>
          <w:b/>
          <w:bCs/>
        </w:rPr>
      </w:pPr>
      <w:r w:rsidRPr="009E0228">
        <w:rPr>
          <w:b/>
          <w:bCs/>
        </w:rPr>
        <w:t>Occupational Safety and Health</w:t>
      </w:r>
      <w:r w:rsidR="00AC5B35">
        <w:rPr>
          <w:b/>
          <w:bCs/>
        </w:rPr>
        <w:t xml:space="preserve"> </w:t>
      </w:r>
      <w:r w:rsidRPr="00AC5B35">
        <w:rPr>
          <w:b/>
          <w:bCs/>
        </w:rPr>
        <w:t>Review Commission</w:t>
      </w:r>
    </w:p>
    <w:p w14:paraId="2F669792" w14:textId="2AF309E0" w:rsidR="009E0228" w:rsidRPr="009E0228" w:rsidRDefault="009E0228" w:rsidP="00305FCF">
      <w:pPr>
        <w:pStyle w:val="ListParagraph"/>
        <w:widowControl/>
        <w:tabs>
          <w:tab w:val="left" w:pos="-792"/>
          <w:tab w:val="right" w:pos="9018"/>
        </w:tabs>
        <w:ind w:left="1530"/>
        <w:rPr>
          <w:b/>
          <w:bCs/>
        </w:rPr>
      </w:pPr>
      <w:r w:rsidRPr="009E0228">
        <w:rPr>
          <w:b/>
          <w:bCs/>
        </w:rPr>
        <w:t>One Lafayette Cent</w:t>
      </w:r>
      <w:r w:rsidR="00DC7EA6">
        <w:rPr>
          <w:b/>
          <w:bCs/>
        </w:rPr>
        <w:t>re</w:t>
      </w:r>
    </w:p>
    <w:p w14:paraId="0DD17583" w14:textId="249BDA61" w:rsidR="009E0228" w:rsidRPr="009E0228" w:rsidRDefault="009E0228" w:rsidP="00305FCF">
      <w:pPr>
        <w:pStyle w:val="ListParagraph"/>
        <w:widowControl/>
        <w:tabs>
          <w:tab w:val="left" w:pos="-792"/>
          <w:tab w:val="right" w:pos="9018"/>
        </w:tabs>
        <w:ind w:left="1530"/>
        <w:rPr>
          <w:b/>
          <w:bCs/>
        </w:rPr>
      </w:pPr>
      <w:r w:rsidRPr="009E0228">
        <w:rPr>
          <w:b/>
          <w:bCs/>
        </w:rPr>
        <w:t xml:space="preserve">1120 20th Street </w:t>
      </w:r>
      <w:r w:rsidR="00AC5B35">
        <w:rPr>
          <w:b/>
          <w:bCs/>
        </w:rPr>
        <w:t>NW</w:t>
      </w:r>
      <w:r w:rsidR="007270FD">
        <w:rPr>
          <w:b/>
          <w:bCs/>
        </w:rPr>
        <w:t>, Suite 980</w:t>
      </w:r>
    </w:p>
    <w:p w14:paraId="3795E248" w14:textId="0A158D23" w:rsidR="009E0228" w:rsidRDefault="009E0228" w:rsidP="00305FCF">
      <w:pPr>
        <w:pStyle w:val="ListParagraph"/>
        <w:widowControl/>
        <w:tabs>
          <w:tab w:val="left" w:pos="-792"/>
          <w:tab w:val="right" w:pos="9018"/>
        </w:tabs>
        <w:ind w:left="1530"/>
        <w:rPr>
          <w:b/>
          <w:bCs/>
        </w:rPr>
      </w:pPr>
      <w:r w:rsidRPr="009E0228">
        <w:rPr>
          <w:b/>
          <w:bCs/>
        </w:rPr>
        <w:t>Washington, D.C. 20036-34</w:t>
      </w:r>
      <w:r w:rsidR="00731818">
        <w:rPr>
          <w:b/>
          <w:bCs/>
        </w:rPr>
        <w:t>57</w:t>
      </w:r>
    </w:p>
    <w:p w14:paraId="56DDB26B" w14:textId="1212A092" w:rsidR="00B74C60" w:rsidRDefault="00B74C60" w:rsidP="00305FCF">
      <w:pPr>
        <w:pStyle w:val="ListParagraph"/>
        <w:widowControl/>
        <w:tabs>
          <w:tab w:val="left" w:pos="-792"/>
          <w:tab w:val="right" w:pos="9018"/>
        </w:tabs>
        <w:ind w:left="1530"/>
        <w:rPr>
          <w:b/>
          <w:bCs/>
        </w:rPr>
      </w:pPr>
    </w:p>
    <w:p w14:paraId="6FA6B184" w14:textId="77D43FA5" w:rsidR="00B74C60" w:rsidRPr="006B6052" w:rsidRDefault="00B74C60" w:rsidP="00B74C60">
      <w:pPr>
        <w:pStyle w:val="ListParagraph"/>
        <w:widowControl/>
        <w:tabs>
          <w:tab w:val="left" w:pos="-792"/>
          <w:tab w:val="right" w:pos="9018"/>
        </w:tabs>
        <w:spacing w:before="240" w:after="240"/>
        <w:jc w:val="both"/>
        <w:rPr>
          <w:b/>
          <w:bCs/>
        </w:rPr>
      </w:pPr>
      <w:r w:rsidRPr="006B6052">
        <w:lastRenderedPageBreak/>
        <w:t>The full text of the rule governing the filing of a petition for discretionary review is Commission Rule 91</w:t>
      </w:r>
      <w:r w:rsidR="00731818">
        <w:t>,</w:t>
      </w:r>
      <w:r w:rsidR="00731818" w:rsidRPr="006B6052">
        <w:t xml:space="preserve"> </w:t>
      </w:r>
      <w:r w:rsidRPr="006B6052">
        <w:t>29 C.F.R. § 2200.91.</w:t>
      </w:r>
    </w:p>
    <w:p w14:paraId="5072B222" w14:textId="77777777" w:rsidR="004925E1" w:rsidRPr="002E2C85" w:rsidRDefault="004925E1" w:rsidP="009E0228">
      <w:pPr>
        <w:pStyle w:val="ListParagraph"/>
      </w:pPr>
    </w:p>
    <w:p w14:paraId="3AD40B59" w14:textId="3BE32199" w:rsidR="004925E1" w:rsidRDefault="004925E1" w:rsidP="00314142">
      <w:pPr>
        <w:pStyle w:val="ListParagraph"/>
        <w:numPr>
          <w:ilvl w:val="0"/>
          <w:numId w:val="2"/>
        </w:numPr>
        <w:tabs>
          <w:tab w:val="left" w:pos="-792"/>
          <w:tab w:val="right" w:pos="9018"/>
        </w:tabs>
        <w:jc w:val="both"/>
      </w:pPr>
      <w:r w:rsidRPr="00305FCF">
        <w:rPr>
          <w:i/>
        </w:rPr>
        <w:t>Correction of errors in the Judge’s report.</w:t>
      </w:r>
      <w:r>
        <w:t xml:space="preserve"> </w:t>
      </w:r>
      <w:r w:rsidR="00F10E9F">
        <w:t xml:space="preserve"> </w:t>
      </w:r>
      <w:r w:rsidR="00987C89">
        <w:t>Up to the time that either the Commission directs review of the decision or the decision becomes a final order of the Commission, a request</w:t>
      </w:r>
      <w:r>
        <w:t xml:space="preserve"> to correct clerical errors arising through oversight or inadvertence in the </w:t>
      </w:r>
      <w:r w:rsidR="0095000B">
        <w:t>d</w:t>
      </w:r>
      <w:r w:rsidR="00584F7B">
        <w:t xml:space="preserve">ecision </w:t>
      </w:r>
      <w:r>
        <w:t xml:space="preserve">or in other parts of the </w:t>
      </w:r>
      <w:r w:rsidRPr="006B6052">
        <w:t xml:space="preserve">Judge’s report shall be filed with the undersigned Judge, </w:t>
      </w:r>
      <w:r w:rsidR="00F57A81" w:rsidRPr="006B6052">
        <w:t xml:space="preserve">by motion, </w:t>
      </w:r>
      <w:r w:rsidRPr="006B6052">
        <w:t>pursuant to Commission Rule 90(</w:t>
      </w:r>
      <w:r w:rsidR="0051052C" w:rsidRPr="006B6052">
        <w:t>b</w:t>
      </w:r>
      <w:r w:rsidRPr="006B6052">
        <w:t>)(4)(</w:t>
      </w:r>
      <w:proofErr w:type="spellStart"/>
      <w:r w:rsidRPr="006B6052">
        <w:t>i</w:t>
      </w:r>
      <w:proofErr w:type="spellEnd"/>
      <w:r w:rsidR="00731818" w:rsidRPr="006B6052">
        <w:t>)</w:t>
      </w:r>
      <w:r w:rsidR="00731818">
        <w:t>,</w:t>
      </w:r>
      <w:r w:rsidR="00731818" w:rsidRPr="006B6052">
        <w:t xml:space="preserve"> </w:t>
      </w:r>
      <w:r w:rsidRPr="006B6052">
        <w:t xml:space="preserve">29 </w:t>
      </w:r>
      <w:r>
        <w:t xml:space="preserve">C.F.R. </w:t>
      </w:r>
      <w:r w:rsidR="0095000B">
        <w:t>§ </w:t>
      </w:r>
      <w:r>
        <w:t>2200.90(</w:t>
      </w:r>
      <w:r w:rsidR="0051052C">
        <w:t>b</w:t>
      </w:r>
      <w:r>
        <w:t>)(4)(</w:t>
      </w:r>
      <w:proofErr w:type="spellStart"/>
      <w:r>
        <w:t>i</w:t>
      </w:r>
      <w:proofErr w:type="spellEnd"/>
      <w:r>
        <w:t xml:space="preserve">). </w:t>
      </w:r>
      <w:r w:rsidR="00F10E9F">
        <w:t xml:space="preserve"> </w:t>
      </w:r>
      <w:r>
        <w:t>Motions shall conform to Commission Rule 40, 29 C.F.R. § 2200.40.</w:t>
      </w:r>
    </w:p>
    <w:p w14:paraId="21A2965A" w14:textId="77777777" w:rsidR="004A117A" w:rsidRDefault="004A117A" w:rsidP="004A117A">
      <w:pPr>
        <w:pStyle w:val="ListParagraph"/>
        <w:tabs>
          <w:tab w:val="left" w:pos="-792"/>
          <w:tab w:val="right" w:pos="9018"/>
        </w:tabs>
        <w:jc w:val="both"/>
      </w:pPr>
    </w:p>
    <w:p w14:paraId="48B6E925" w14:textId="0D94A570" w:rsidR="004A117A" w:rsidRPr="006B6052" w:rsidRDefault="004A117A" w:rsidP="004A117A">
      <w:pPr>
        <w:pStyle w:val="ListParagraph"/>
        <w:numPr>
          <w:ilvl w:val="0"/>
          <w:numId w:val="2"/>
        </w:numPr>
        <w:tabs>
          <w:tab w:val="left" w:pos="-792"/>
          <w:tab w:val="right" w:pos="9018"/>
        </w:tabs>
        <w:jc w:val="both"/>
      </w:pPr>
      <w:r w:rsidRPr="006B6052">
        <w:rPr>
          <w:i/>
        </w:rPr>
        <w:t>Relief from default.</w:t>
      </w:r>
      <w:r w:rsidR="006B6052" w:rsidRPr="006B6052">
        <w:rPr>
          <w:i/>
        </w:rPr>
        <w:t xml:space="preserve"> </w:t>
      </w:r>
      <w:r w:rsidRPr="006B6052">
        <w:t xml:space="preserve"> </w:t>
      </w:r>
      <w:r w:rsidR="00093DE1" w:rsidRPr="006B6052">
        <w:t>Requests for relief from default or for reinstatement of the proceeding may be filed with the undersigned Judge,</w:t>
      </w:r>
      <w:r w:rsidRPr="006B6052">
        <w:t xml:space="preserve"> </w:t>
      </w:r>
      <w:r w:rsidR="00093DE1" w:rsidRPr="006B6052">
        <w:t>by motion, until the date the Executive Secretary dockets the Judge’s report</w:t>
      </w:r>
      <w:r w:rsidR="00F57A81" w:rsidRPr="006B6052">
        <w:t xml:space="preserve">. </w:t>
      </w:r>
      <w:r w:rsidR="006B6052" w:rsidRPr="006B6052">
        <w:t xml:space="preserve"> </w:t>
      </w:r>
      <w:r w:rsidRPr="006B6052">
        <w:rPr>
          <w:i/>
        </w:rPr>
        <w:t>See</w:t>
      </w:r>
      <w:r w:rsidRPr="006B6052">
        <w:t xml:space="preserve"> Commission Rule 90(c)</w:t>
      </w:r>
      <w:r w:rsidR="00731818">
        <w:t xml:space="preserve">, </w:t>
      </w:r>
      <w:r w:rsidR="00731818" w:rsidRPr="00731818">
        <w:t>29 C.F.R. § 2200.</w:t>
      </w:r>
      <w:r w:rsidR="00731818">
        <w:t>90(c)</w:t>
      </w:r>
      <w:r w:rsidRPr="006B6052">
        <w:t>.</w:t>
      </w:r>
      <w:r w:rsidR="00F57A81" w:rsidRPr="006B6052">
        <w:t xml:space="preserve"> </w:t>
      </w:r>
      <w:r w:rsidR="006B6052" w:rsidRPr="006B6052">
        <w:t xml:space="preserve"> </w:t>
      </w:r>
      <w:r w:rsidR="00F57A81" w:rsidRPr="006B6052">
        <w:t>Motions shall conform to Commission Rule 40, 29 C.F.R. § 2200.40.</w:t>
      </w:r>
    </w:p>
    <w:p w14:paraId="39A1CC91" w14:textId="77777777" w:rsidR="009E0228" w:rsidRPr="006B6052" w:rsidRDefault="009E0228" w:rsidP="00314142">
      <w:pPr>
        <w:pStyle w:val="ListParagraph"/>
        <w:tabs>
          <w:tab w:val="left" w:pos="-792"/>
          <w:tab w:val="right" w:pos="9018"/>
        </w:tabs>
        <w:jc w:val="both"/>
      </w:pPr>
    </w:p>
    <w:p w14:paraId="5A9AA9B5" w14:textId="138CB7D6" w:rsidR="009E0228" w:rsidRPr="006B6052" w:rsidRDefault="00305FCF" w:rsidP="00314142">
      <w:pPr>
        <w:pStyle w:val="ListParagraph"/>
        <w:numPr>
          <w:ilvl w:val="0"/>
          <w:numId w:val="2"/>
        </w:numPr>
        <w:spacing w:before="240" w:after="240"/>
        <w:jc w:val="both"/>
        <w:rPr>
          <w:rFonts w:eastAsiaTheme="minorHAnsi"/>
        </w:rPr>
      </w:pPr>
      <w:r>
        <w:rPr>
          <w:i/>
        </w:rPr>
        <w:t>Filing with Executive Secretary</w:t>
      </w:r>
      <w:r w:rsidR="006B6052">
        <w:rPr>
          <w:i/>
        </w:rPr>
        <w:t xml:space="preserve">. </w:t>
      </w:r>
      <w:r>
        <w:rPr>
          <w:i/>
        </w:rPr>
        <w:t xml:space="preserve"> </w:t>
      </w:r>
      <w:r w:rsidR="009E0228">
        <w:t>Except for motions filed to correct errors in the Judge’s report discussed in paragraph 4 above,</w:t>
      </w:r>
      <w:r w:rsidR="009E0228" w:rsidRPr="00A477FF">
        <w:rPr>
          <w:rFonts w:eastAsiaTheme="minorHAnsi"/>
        </w:rPr>
        <w:t xml:space="preserve"> on or after the date </w:t>
      </w:r>
      <w:r w:rsidR="00584F7B">
        <w:rPr>
          <w:rFonts w:eastAsiaTheme="minorHAnsi"/>
        </w:rPr>
        <w:t xml:space="preserve">the Executive Secretary dockets </w:t>
      </w:r>
      <w:r w:rsidR="009E0228" w:rsidRPr="00A477FF">
        <w:rPr>
          <w:rFonts w:eastAsiaTheme="minorHAnsi"/>
        </w:rPr>
        <w:t xml:space="preserve">the Judge’s </w:t>
      </w:r>
      <w:r w:rsidR="009E0228" w:rsidRPr="006B6052">
        <w:rPr>
          <w:rFonts w:eastAsiaTheme="minorHAnsi"/>
        </w:rPr>
        <w:t>report</w:t>
      </w:r>
      <w:r w:rsidR="00B74C60" w:rsidRPr="006B6052">
        <w:rPr>
          <w:rFonts w:eastAsiaTheme="minorHAnsi"/>
        </w:rPr>
        <w:t>,</w:t>
      </w:r>
      <w:r w:rsidR="009E0228" w:rsidRPr="006B6052">
        <w:rPr>
          <w:rFonts w:eastAsiaTheme="minorHAnsi"/>
        </w:rPr>
        <w:t xml:space="preserve"> all documents </w:t>
      </w:r>
      <w:r w:rsidR="00F57A81" w:rsidRPr="006B6052">
        <w:rPr>
          <w:rFonts w:eastAsiaTheme="minorHAnsi"/>
        </w:rPr>
        <w:t>s</w:t>
      </w:r>
      <w:r w:rsidR="009E0228" w:rsidRPr="006B6052">
        <w:rPr>
          <w:rFonts w:eastAsiaTheme="minorHAnsi"/>
        </w:rPr>
        <w:t xml:space="preserve">hall be filed with the Executive Secretary.  </w:t>
      </w:r>
      <w:r w:rsidR="009E0228" w:rsidRPr="006B6052">
        <w:rPr>
          <w:rFonts w:eastAsiaTheme="minorHAnsi"/>
          <w:i/>
        </w:rPr>
        <w:t>See</w:t>
      </w:r>
      <w:r w:rsidR="009E0228" w:rsidRPr="006B6052">
        <w:rPr>
          <w:rFonts w:eastAsiaTheme="minorHAnsi"/>
        </w:rPr>
        <w:t xml:space="preserve"> Commission Rule 90(d)</w:t>
      </w:r>
      <w:r w:rsidR="00731818" w:rsidRPr="00731818">
        <w:rPr>
          <w:rFonts w:eastAsiaTheme="minorHAnsi"/>
        </w:rPr>
        <w:t>, 29 C.F.R. § 2200.90(</w:t>
      </w:r>
      <w:r w:rsidR="00731818">
        <w:rPr>
          <w:rFonts w:eastAsiaTheme="minorHAnsi"/>
        </w:rPr>
        <w:t>d).</w:t>
      </w:r>
    </w:p>
    <w:p w14:paraId="33D4979A" w14:textId="77777777" w:rsidR="00BE1982" w:rsidRPr="00BE1982" w:rsidRDefault="00BE1982" w:rsidP="00314142">
      <w:pPr>
        <w:pStyle w:val="ListParagraph"/>
        <w:jc w:val="both"/>
        <w:rPr>
          <w:rFonts w:eastAsiaTheme="minorHAnsi"/>
        </w:rPr>
      </w:pPr>
    </w:p>
    <w:p w14:paraId="7A421400" w14:textId="77777777" w:rsidR="009E5D73" w:rsidRDefault="009E5D73" w:rsidP="008772EF"/>
    <w:p w14:paraId="2CA04393" w14:textId="77777777" w:rsidR="008772EF" w:rsidRPr="002E2C85" w:rsidRDefault="008772EF" w:rsidP="008772EF">
      <w:pPr>
        <w:widowControl/>
        <w:tabs>
          <w:tab w:val="left" w:pos="-792"/>
          <w:tab w:val="right" w:pos="9018"/>
        </w:tabs>
        <w:jc w:val="both"/>
      </w:pPr>
    </w:p>
    <w:p w14:paraId="123A6B90" w14:textId="335DC128" w:rsidR="008772EF" w:rsidRDefault="008772EF" w:rsidP="008772EF">
      <w:pPr>
        <w:widowControl/>
        <w:tabs>
          <w:tab w:val="left" w:pos="-792"/>
          <w:tab w:val="left" w:pos="5328"/>
          <w:tab w:val="right" w:pos="9018"/>
        </w:tabs>
        <w:ind w:firstLine="5328"/>
        <w:jc w:val="both"/>
      </w:pPr>
      <w:r>
        <w:t>______________________________</w:t>
      </w:r>
    </w:p>
    <w:p w14:paraId="663D31BA" w14:textId="7CBFD99F" w:rsidR="008772EF" w:rsidRPr="002E2C85" w:rsidRDefault="00AC5B35" w:rsidP="008772EF">
      <w:pPr>
        <w:widowControl/>
        <w:tabs>
          <w:tab w:val="left" w:pos="-792"/>
          <w:tab w:val="left" w:pos="5328"/>
          <w:tab w:val="right" w:pos="9018"/>
        </w:tabs>
        <w:ind w:firstLine="5328"/>
        <w:jc w:val="both"/>
      </w:pPr>
      <w:r>
        <w:t xml:space="preserve">Administrative Law </w:t>
      </w:r>
      <w:r w:rsidR="008772EF" w:rsidRPr="002E2C85">
        <w:t>Judge</w:t>
      </w:r>
    </w:p>
    <w:p w14:paraId="54A9922C" w14:textId="77777777" w:rsidR="008772EF" w:rsidRPr="002E2C85" w:rsidRDefault="008772EF" w:rsidP="008772EF">
      <w:pPr>
        <w:widowControl/>
        <w:tabs>
          <w:tab w:val="left" w:pos="-792"/>
          <w:tab w:val="left" w:pos="5328"/>
          <w:tab w:val="right" w:pos="9018"/>
        </w:tabs>
        <w:jc w:val="both"/>
      </w:pPr>
    </w:p>
    <w:p w14:paraId="08598784" w14:textId="7A73733E" w:rsidR="008772EF" w:rsidRPr="002E2C85" w:rsidRDefault="008772EF" w:rsidP="008772EF">
      <w:pPr>
        <w:widowControl/>
        <w:tabs>
          <w:tab w:val="left" w:pos="-792"/>
          <w:tab w:val="left" w:pos="1008"/>
          <w:tab w:val="left" w:pos="1728"/>
          <w:tab w:val="right" w:pos="9018"/>
        </w:tabs>
        <w:jc w:val="both"/>
      </w:pPr>
      <w:r w:rsidRPr="002E2C85">
        <w:t>D</w:t>
      </w:r>
      <w:r w:rsidR="00305FCF">
        <w:t>ated:</w:t>
      </w:r>
      <w:r w:rsidRPr="002E2C85">
        <w:tab/>
        <w:t xml:space="preserve"> </w:t>
      </w:r>
    </w:p>
    <w:p w14:paraId="0B8F4865" w14:textId="77777777" w:rsidR="00305FCF" w:rsidRDefault="00305FCF"/>
    <w:sectPr w:rsidR="00305FCF" w:rsidSect="00B20F41">
      <w:footerReference w:type="default" r:id="rId8"/>
      <w:pgSz w:w="12240" w:h="15840"/>
      <w:pgMar w:top="720" w:right="1152" w:bottom="1008" w:left="1152" w:header="720" w:footer="10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C907D" w14:textId="77777777" w:rsidR="0010365B" w:rsidRDefault="0010365B" w:rsidP="00116675">
      <w:r>
        <w:separator/>
      </w:r>
    </w:p>
  </w:endnote>
  <w:endnote w:type="continuationSeparator" w:id="0">
    <w:p w14:paraId="70C7AB66" w14:textId="77777777" w:rsidR="0010365B" w:rsidRDefault="0010365B" w:rsidP="0011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674285"/>
      <w:docPartObj>
        <w:docPartGallery w:val="Page Numbers (Bottom of Page)"/>
        <w:docPartUnique/>
      </w:docPartObj>
    </w:sdtPr>
    <w:sdtEndPr>
      <w:rPr>
        <w:noProof/>
      </w:rPr>
    </w:sdtEndPr>
    <w:sdtContent>
      <w:p w14:paraId="76050157" w14:textId="6909E2BE" w:rsidR="00F57A81" w:rsidRDefault="00F57A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B314C1" w14:textId="77777777" w:rsidR="00F57A81" w:rsidRDefault="00F57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37D0F" w14:textId="77777777" w:rsidR="0010365B" w:rsidRDefault="0010365B" w:rsidP="00116675">
      <w:r>
        <w:separator/>
      </w:r>
    </w:p>
  </w:footnote>
  <w:footnote w:type="continuationSeparator" w:id="0">
    <w:p w14:paraId="767B786D" w14:textId="77777777" w:rsidR="0010365B" w:rsidRDefault="0010365B" w:rsidP="00116675">
      <w:r>
        <w:continuationSeparator/>
      </w:r>
    </w:p>
  </w:footnote>
  <w:footnote w:id="1">
    <w:p w14:paraId="2E4D44AB" w14:textId="334BE12F" w:rsidR="00F57A81" w:rsidRPr="00794ED1" w:rsidRDefault="00F57A81" w:rsidP="0095000B">
      <w:pPr>
        <w:pStyle w:val="FootnoteText"/>
      </w:pPr>
      <w:r w:rsidRPr="00B20F41">
        <w:rPr>
          <w:rStyle w:val="FootnoteReference"/>
          <w:sz w:val="22"/>
          <w:szCs w:val="22"/>
        </w:rPr>
        <w:footnoteRef/>
      </w:r>
      <w:r w:rsidRPr="00B20F41">
        <w:rPr>
          <w:sz w:val="22"/>
          <w:szCs w:val="22"/>
        </w:rPr>
        <w:t xml:space="preserve"> </w:t>
      </w:r>
      <w:r w:rsidR="0095000B" w:rsidRPr="00794ED1">
        <w:rPr>
          <w:rFonts w:eastAsia="Calibri"/>
          <w:sz w:val="22"/>
          <w:szCs w:val="22"/>
        </w:rPr>
        <w:t>OSHRC’s new Rules of Procedure were effective June 10, 2019 and all references contained herein refer to these revised Rules.  Rules of Procedure, 84 Fed. Reg. 14554 (April 10, 2019) (to be codified at 29 C.F.R. pt. 2200).  (</w:t>
      </w:r>
      <w:hyperlink r:id="rId1" w:history="1">
        <w:r w:rsidR="0095000B" w:rsidRPr="00794ED1">
          <w:rPr>
            <w:rFonts w:eastAsia="Calibri"/>
            <w:color w:val="0000FF"/>
            <w:sz w:val="22"/>
            <w:szCs w:val="22"/>
            <w:u w:val="single"/>
          </w:rPr>
          <w:t>https://www.federalregister.gov/documents/2019/04/10/2019-06581/rules-of-procedure</w:t>
        </w:r>
      </w:hyperlink>
      <w:r w:rsidR="0095000B" w:rsidRPr="00794ED1">
        <w:rPr>
          <w:rFonts w:eastAsia="Calibr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40D5"/>
    <w:multiLevelType w:val="hybridMultilevel"/>
    <w:tmpl w:val="6822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650F2"/>
    <w:multiLevelType w:val="hybridMultilevel"/>
    <w:tmpl w:val="E7401F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EF"/>
    <w:rsid w:val="000518BB"/>
    <w:rsid w:val="00093DE1"/>
    <w:rsid w:val="0010365B"/>
    <w:rsid w:val="00116675"/>
    <w:rsid w:val="001E114B"/>
    <w:rsid w:val="002B2C8A"/>
    <w:rsid w:val="002F2A2F"/>
    <w:rsid w:val="00305FCF"/>
    <w:rsid w:val="00314142"/>
    <w:rsid w:val="003B0316"/>
    <w:rsid w:val="004925E1"/>
    <w:rsid w:val="004A117A"/>
    <w:rsid w:val="0051052C"/>
    <w:rsid w:val="00584F7B"/>
    <w:rsid w:val="006B6052"/>
    <w:rsid w:val="00724BC9"/>
    <w:rsid w:val="007270FD"/>
    <w:rsid w:val="00731818"/>
    <w:rsid w:val="00731F70"/>
    <w:rsid w:val="00777DB2"/>
    <w:rsid w:val="00794ED1"/>
    <w:rsid w:val="00803039"/>
    <w:rsid w:val="00841C98"/>
    <w:rsid w:val="00865619"/>
    <w:rsid w:val="00875905"/>
    <w:rsid w:val="008772EF"/>
    <w:rsid w:val="008C4FD8"/>
    <w:rsid w:val="00930914"/>
    <w:rsid w:val="0095000B"/>
    <w:rsid w:val="00987C89"/>
    <w:rsid w:val="009E0228"/>
    <w:rsid w:val="009E5D73"/>
    <w:rsid w:val="00A83E64"/>
    <w:rsid w:val="00AC103A"/>
    <w:rsid w:val="00AC5B35"/>
    <w:rsid w:val="00AE7612"/>
    <w:rsid w:val="00AF4129"/>
    <w:rsid w:val="00B13EDC"/>
    <w:rsid w:val="00B20F41"/>
    <w:rsid w:val="00B6042C"/>
    <w:rsid w:val="00B74C60"/>
    <w:rsid w:val="00B83193"/>
    <w:rsid w:val="00BC5636"/>
    <w:rsid w:val="00BE1982"/>
    <w:rsid w:val="00C10456"/>
    <w:rsid w:val="00C1045E"/>
    <w:rsid w:val="00C24BD2"/>
    <w:rsid w:val="00C51FFB"/>
    <w:rsid w:val="00CC1B0A"/>
    <w:rsid w:val="00CC7AAA"/>
    <w:rsid w:val="00D7402B"/>
    <w:rsid w:val="00DC151E"/>
    <w:rsid w:val="00DC7EA6"/>
    <w:rsid w:val="00F10E9F"/>
    <w:rsid w:val="00F22D31"/>
    <w:rsid w:val="00F57A81"/>
    <w:rsid w:val="00FC46F2"/>
    <w:rsid w:val="00FD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B53C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2E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2EF"/>
    <w:rPr>
      <w:rFonts w:ascii="Segoe UI" w:eastAsiaTheme="minorEastAsia" w:hAnsi="Segoe UI" w:cs="Segoe UI"/>
      <w:sz w:val="18"/>
      <w:szCs w:val="18"/>
    </w:rPr>
  </w:style>
  <w:style w:type="paragraph" w:styleId="ListParagraph">
    <w:name w:val="List Paragraph"/>
    <w:basedOn w:val="Normal"/>
    <w:uiPriority w:val="34"/>
    <w:qFormat/>
    <w:rsid w:val="008772EF"/>
    <w:pPr>
      <w:ind w:left="720"/>
      <w:contextualSpacing/>
    </w:pPr>
  </w:style>
  <w:style w:type="paragraph" w:styleId="Header">
    <w:name w:val="header"/>
    <w:basedOn w:val="Normal"/>
    <w:link w:val="HeaderChar"/>
    <w:uiPriority w:val="99"/>
    <w:unhideWhenUsed/>
    <w:rsid w:val="00116675"/>
    <w:pPr>
      <w:tabs>
        <w:tab w:val="center" w:pos="4680"/>
        <w:tab w:val="right" w:pos="9360"/>
      </w:tabs>
    </w:pPr>
  </w:style>
  <w:style w:type="character" w:customStyle="1" w:styleId="HeaderChar">
    <w:name w:val="Header Char"/>
    <w:basedOn w:val="DefaultParagraphFont"/>
    <w:link w:val="Header"/>
    <w:uiPriority w:val="99"/>
    <w:rsid w:val="0011667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116675"/>
    <w:pPr>
      <w:tabs>
        <w:tab w:val="center" w:pos="4680"/>
        <w:tab w:val="right" w:pos="9360"/>
      </w:tabs>
    </w:pPr>
  </w:style>
  <w:style w:type="character" w:customStyle="1" w:styleId="FooterChar">
    <w:name w:val="Footer Char"/>
    <w:basedOn w:val="DefaultParagraphFont"/>
    <w:link w:val="Footer"/>
    <w:uiPriority w:val="99"/>
    <w:rsid w:val="00116675"/>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0518BB"/>
    <w:rPr>
      <w:sz w:val="16"/>
      <w:szCs w:val="16"/>
    </w:rPr>
  </w:style>
  <w:style w:type="paragraph" w:styleId="CommentText">
    <w:name w:val="annotation text"/>
    <w:basedOn w:val="Normal"/>
    <w:link w:val="CommentTextChar"/>
    <w:uiPriority w:val="99"/>
    <w:semiHidden/>
    <w:unhideWhenUsed/>
    <w:rsid w:val="000518BB"/>
    <w:rPr>
      <w:sz w:val="20"/>
      <w:szCs w:val="20"/>
    </w:rPr>
  </w:style>
  <w:style w:type="character" w:customStyle="1" w:styleId="CommentTextChar">
    <w:name w:val="Comment Text Char"/>
    <w:basedOn w:val="DefaultParagraphFont"/>
    <w:link w:val="CommentText"/>
    <w:uiPriority w:val="99"/>
    <w:semiHidden/>
    <w:rsid w:val="000518BB"/>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18BB"/>
    <w:rPr>
      <w:b/>
      <w:bCs/>
    </w:rPr>
  </w:style>
  <w:style w:type="character" w:customStyle="1" w:styleId="CommentSubjectChar">
    <w:name w:val="Comment Subject Char"/>
    <w:basedOn w:val="CommentTextChar"/>
    <w:link w:val="CommentSubject"/>
    <w:uiPriority w:val="99"/>
    <w:semiHidden/>
    <w:rsid w:val="000518BB"/>
    <w:rPr>
      <w:rFonts w:ascii="Times New Roman" w:eastAsiaTheme="minorEastAsia" w:hAnsi="Times New Roman" w:cs="Times New Roman"/>
      <w:b/>
      <w:bCs/>
      <w:sz w:val="20"/>
      <w:szCs w:val="20"/>
    </w:rPr>
  </w:style>
  <w:style w:type="paragraph" w:styleId="FootnoteText">
    <w:name w:val="footnote text"/>
    <w:basedOn w:val="Normal"/>
    <w:link w:val="FootnoteTextChar"/>
    <w:uiPriority w:val="99"/>
    <w:unhideWhenUsed/>
    <w:rsid w:val="00305FCF"/>
    <w:rPr>
      <w:sz w:val="20"/>
      <w:szCs w:val="20"/>
    </w:rPr>
  </w:style>
  <w:style w:type="character" w:customStyle="1" w:styleId="FootnoteTextChar">
    <w:name w:val="Footnote Text Char"/>
    <w:basedOn w:val="DefaultParagraphFont"/>
    <w:link w:val="FootnoteText"/>
    <w:uiPriority w:val="99"/>
    <w:rsid w:val="00305FCF"/>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305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19/04/10/2019-06581/rules-of-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2019-06-06T19:49:00Z</dcterms:created>
  <dcterms:modified xsi:type="dcterms:W3CDTF">2019-06-06T19:59:00Z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