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20EDC" w14:textId="77777777" w:rsidR="00632420" w:rsidRDefault="00632420" w:rsidP="00632420">
      <w:pPr>
        <w:spacing w:line="360" w:lineRule="auto"/>
        <w:jc w:val="both"/>
      </w:pPr>
      <w:bookmarkStart w:id="0" w:name="_Hlk7104252"/>
      <w:bookmarkStart w:id="1" w:name="_GoBack"/>
      <w:bookmarkEnd w:id="1"/>
      <w:r>
        <w:rPr>
          <w:noProof/>
        </w:rPr>
        <w:drawing>
          <wp:anchor distT="152400" distB="152400" distL="152400" distR="152400" simplePos="0" relativeHeight="251659264" behindDoc="1" locked="0" layoutInCell="0" allowOverlap="1" wp14:anchorId="432AE6BE" wp14:editId="5FE2DD90">
            <wp:simplePos x="0" y="0"/>
            <wp:positionH relativeFrom="margin">
              <wp:posOffset>-488950</wp:posOffset>
            </wp:positionH>
            <wp:positionV relativeFrom="paragraph">
              <wp:posOffset>52070</wp:posOffset>
            </wp:positionV>
            <wp:extent cx="927100" cy="84772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00" cy="84772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2230D688" w14:textId="77777777" w:rsidR="00632420" w:rsidRDefault="00632420" w:rsidP="00632420">
      <w:pPr>
        <w:jc w:val="center"/>
        <w:rPr>
          <w:sz w:val="22"/>
          <w:szCs w:val="22"/>
        </w:rPr>
      </w:pPr>
      <w:r>
        <w:rPr>
          <w:sz w:val="22"/>
          <w:szCs w:val="22"/>
        </w:rPr>
        <w:t>United States of America</w:t>
      </w:r>
    </w:p>
    <w:p w14:paraId="46A2D342" w14:textId="77777777" w:rsidR="00632420" w:rsidRDefault="00632420" w:rsidP="00632420">
      <w:pPr>
        <w:ind w:firstLine="720"/>
        <w:jc w:val="center"/>
        <w:rPr>
          <w:sz w:val="22"/>
          <w:szCs w:val="22"/>
        </w:rPr>
      </w:pPr>
      <w:r>
        <w:rPr>
          <w:b/>
          <w:bCs/>
          <w:sz w:val="22"/>
          <w:szCs w:val="22"/>
        </w:rPr>
        <w:t>OCCUPATIONAL SAFETY AND HEALTH REVIEW COMMISSION</w:t>
      </w:r>
    </w:p>
    <w:p w14:paraId="6F8F5920" w14:textId="77777777" w:rsidR="00632420" w:rsidRDefault="00632420" w:rsidP="00632420">
      <w:pPr>
        <w:jc w:val="center"/>
      </w:pPr>
      <w:r>
        <w:t>1120 20th Street, N.W., Ninth Floor</w:t>
      </w:r>
    </w:p>
    <w:p w14:paraId="695B0BC5" w14:textId="77777777" w:rsidR="00632420" w:rsidRDefault="00632420" w:rsidP="00632420">
      <w:pPr>
        <w:jc w:val="center"/>
      </w:pPr>
      <w:r>
        <w:t>Washington, DC 20036-3457</w:t>
      </w:r>
    </w:p>
    <w:p w14:paraId="64DF7B2D" w14:textId="77777777" w:rsidR="00632420" w:rsidRDefault="00632420" w:rsidP="00632420"/>
    <w:p w14:paraId="6C855BCA" w14:textId="77777777" w:rsidR="00632420" w:rsidRPr="00103354" w:rsidRDefault="00632420" w:rsidP="00632420">
      <w:pPr>
        <w:ind w:left="-720"/>
      </w:pP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Pr>
          <w:sz w:val="16"/>
          <w:szCs w:val="16"/>
        </w:rPr>
        <w:t xml:space="preserve">                    </w:t>
      </w:r>
    </w:p>
    <w:p w14:paraId="531F4A8B" w14:textId="77777777" w:rsidR="00632420" w:rsidRDefault="00632420" w:rsidP="00632420">
      <w:pPr>
        <w:jc w:val="center"/>
      </w:pPr>
    </w:p>
    <w:p w14:paraId="727BA191" w14:textId="77777777" w:rsidR="00632420" w:rsidRDefault="00632420" w:rsidP="00632420">
      <w:pPr>
        <w:jc w:val="center"/>
      </w:pP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632420" w14:paraId="10CC4BEB" w14:textId="77777777" w:rsidTr="00453DFA">
        <w:trPr>
          <w:cantSplit/>
        </w:trPr>
        <w:tc>
          <w:tcPr>
            <w:tcW w:w="4680" w:type="dxa"/>
            <w:tcBorders>
              <w:top w:val="single" w:sz="6" w:space="0" w:color="000000"/>
              <w:left w:val="nil"/>
              <w:bottom w:val="nil"/>
              <w:right w:val="dashSmallGap" w:sz="6" w:space="0" w:color="000000"/>
            </w:tcBorders>
          </w:tcPr>
          <w:p w14:paraId="0BF2272C" w14:textId="77777777" w:rsidR="00632420" w:rsidRPr="00615D0F" w:rsidRDefault="00632420" w:rsidP="00453DFA">
            <w:pPr>
              <w:spacing w:before="115" w:after="52" w:line="360" w:lineRule="auto"/>
              <w:rPr>
                <w:sz w:val="24"/>
                <w:szCs w:val="24"/>
              </w:rPr>
            </w:pPr>
            <w:r w:rsidRPr="00615D0F">
              <w:rPr>
                <w:bCs/>
                <w:sz w:val="24"/>
                <w:szCs w:val="24"/>
              </w:rPr>
              <w:t>SECRETARY OF LABOR,</w:t>
            </w:r>
          </w:p>
        </w:tc>
        <w:tc>
          <w:tcPr>
            <w:tcW w:w="4680" w:type="dxa"/>
            <w:tcBorders>
              <w:top w:val="nil"/>
              <w:left w:val="nil"/>
              <w:bottom w:val="nil"/>
              <w:right w:val="nil"/>
            </w:tcBorders>
          </w:tcPr>
          <w:p w14:paraId="63D5813F" w14:textId="77777777" w:rsidR="00632420" w:rsidRDefault="00632420" w:rsidP="00453DFA">
            <w:pPr>
              <w:spacing w:before="115" w:after="52" w:line="360" w:lineRule="auto"/>
              <w:rPr>
                <w:sz w:val="24"/>
                <w:szCs w:val="24"/>
              </w:rPr>
            </w:pPr>
          </w:p>
        </w:tc>
      </w:tr>
      <w:tr w:rsidR="00632420" w14:paraId="587CA42B" w14:textId="77777777" w:rsidTr="00453DFA">
        <w:trPr>
          <w:cantSplit/>
        </w:trPr>
        <w:tc>
          <w:tcPr>
            <w:tcW w:w="4680" w:type="dxa"/>
            <w:tcBorders>
              <w:top w:val="nil"/>
              <w:left w:val="nil"/>
              <w:bottom w:val="nil"/>
              <w:right w:val="dashSmallGap" w:sz="6" w:space="0" w:color="000000"/>
            </w:tcBorders>
          </w:tcPr>
          <w:p w14:paraId="08893DC8" w14:textId="77777777" w:rsidR="00632420" w:rsidRPr="00615D0F" w:rsidRDefault="00632420" w:rsidP="00453DFA">
            <w:pPr>
              <w:spacing w:before="115" w:after="52" w:line="360" w:lineRule="auto"/>
              <w:jc w:val="center"/>
              <w:rPr>
                <w:sz w:val="24"/>
                <w:szCs w:val="24"/>
              </w:rPr>
            </w:pPr>
            <w:r w:rsidRPr="00615D0F">
              <w:rPr>
                <w:bCs/>
                <w:sz w:val="24"/>
                <w:szCs w:val="24"/>
              </w:rPr>
              <w:t>Complainant,</w:t>
            </w:r>
          </w:p>
        </w:tc>
        <w:tc>
          <w:tcPr>
            <w:tcW w:w="4680" w:type="dxa"/>
            <w:tcBorders>
              <w:top w:val="nil"/>
              <w:left w:val="nil"/>
              <w:bottom w:val="nil"/>
              <w:right w:val="nil"/>
            </w:tcBorders>
          </w:tcPr>
          <w:p w14:paraId="1413D91B" w14:textId="77777777" w:rsidR="00632420" w:rsidRDefault="00632420" w:rsidP="00453DFA">
            <w:pPr>
              <w:spacing w:before="115" w:after="52" w:line="360" w:lineRule="auto"/>
              <w:rPr>
                <w:sz w:val="24"/>
                <w:szCs w:val="24"/>
              </w:rPr>
            </w:pPr>
          </w:p>
        </w:tc>
      </w:tr>
      <w:tr w:rsidR="00632420" w14:paraId="43D29403" w14:textId="77777777" w:rsidTr="00453DFA">
        <w:trPr>
          <w:cantSplit/>
        </w:trPr>
        <w:tc>
          <w:tcPr>
            <w:tcW w:w="4680" w:type="dxa"/>
            <w:tcBorders>
              <w:top w:val="nil"/>
              <w:left w:val="nil"/>
              <w:bottom w:val="nil"/>
              <w:right w:val="dashSmallGap" w:sz="6" w:space="0" w:color="000000"/>
            </w:tcBorders>
          </w:tcPr>
          <w:p w14:paraId="40B2EAC6" w14:textId="77777777" w:rsidR="00632420" w:rsidRPr="00615D0F" w:rsidRDefault="00632420" w:rsidP="00453DFA">
            <w:pPr>
              <w:spacing w:before="115" w:after="52" w:line="360" w:lineRule="auto"/>
              <w:jc w:val="center"/>
              <w:rPr>
                <w:sz w:val="24"/>
                <w:szCs w:val="24"/>
              </w:rPr>
            </w:pPr>
            <w:r w:rsidRPr="00615D0F">
              <w:rPr>
                <w:bCs/>
                <w:sz w:val="24"/>
                <w:szCs w:val="24"/>
              </w:rPr>
              <w:t>v.</w:t>
            </w:r>
          </w:p>
        </w:tc>
        <w:tc>
          <w:tcPr>
            <w:tcW w:w="4680" w:type="dxa"/>
            <w:tcBorders>
              <w:top w:val="nil"/>
              <w:left w:val="nil"/>
              <w:bottom w:val="nil"/>
              <w:right w:val="nil"/>
            </w:tcBorders>
          </w:tcPr>
          <w:p w14:paraId="2AE59003" w14:textId="77777777" w:rsidR="00632420" w:rsidRPr="00615D0F" w:rsidRDefault="00632420" w:rsidP="00453DFA">
            <w:pPr>
              <w:spacing w:before="115" w:line="360" w:lineRule="auto"/>
              <w:rPr>
                <w:sz w:val="24"/>
                <w:szCs w:val="24"/>
              </w:rPr>
            </w:pPr>
            <w:r>
              <w:rPr>
                <w:b/>
                <w:bCs/>
                <w:sz w:val="24"/>
                <w:szCs w:val="24"/>
              </w:rPr>
              <w:t xml:space="preserve">  </w:t>
            </w:r>
            <w:r w:rsidRPr="00615D0F">
              <w:rPr>
                <w:bCs/>
                <w:sz w:val="24"/>
                <w:szCs w:val="24"/>
              </w:rPr>
              <w:t xml:space="preserve">OSHRC DOCKET NO. </w:t>
            </w:r>
          </w:p>
        </w:tc>
      </w:tr>
      <w:tr w:rsidR="00632420" w14:paraId="2B94F41F" w14:textId="77777777" w:rsidTr="00453DFA">
        <w:trPr>
          <w:cantSplit/>
        </w:trPr>
        <w:tc>
          <w:tcPr>
            <w:tcW w:w="4680" w:type="dxa"/>
            <w:tcBorders>
              <w:top w:val="nil"/>
              <w:left w:val="nil"/>
              <w:bottom w:val="nil"/>
              <w:right w:val="dashSmallGap" w:sz="6" w:space="0" w:color="000000"/>
            </w:tcBorders>
          </w:tcPr>
          <w:p w14:paraId="00851787" w14:textId="77777777" w:rsidR="00632420" w:rsidRPr="00615D0F" w:rsidRDefault="00632420" w:rsidP="00453DFA">
            <w:pPr>
              <w:spacing w:before="115" w:after="52"/>
              <w:contextualSpacing/>
              <w:rPr>
                <w:sz w:val="24"/>
                <w:szCs w:val="24"/>
              </w:rPr>
            </w:pPr>
            <w:bookmarkStart w:id="2" w:name="2"/>
            <w:bookmarkEnd w:id="2"/>
          </w:p>
        </w:tc>
        <w:tc>
          <w:tcPr>
            <w:tcW w:w="4680" w:type="dxa"/>
            <w:tcBorders>
              <w:top w:val="nil"/>
              <w:left w:val="nil"/>
              <w:bottom w:val="nil"/>
              <w:right w:val="nil"/>
            </w:tcBorders>
          </w:tcPr>
          <w:p w14:paraId="0CE440C1" w14:textId="77777777" w:rsidR="00632420" w:rsidRPr="002B3520" w:rsidRDefault="00632420" w:rsidP="00453DFA">
            <w:pPr>
              <w:spacing w:before="115" w:after="52" w:line="360" w:lineRule="auto"/>
              <w:rPr>
                <w:b/>
                <w:sz w:val="24"/>
                <w:szCs w:val="24"/>
              </w:rPr>
            </w:pPr>
            <w:r>
              <w:rPr>
                <w:sz w:val="24"/>
                <w:szCs w:val="24"/>
              </w:rPr>
              <w:t xml:space="preserve">    </w:t>
            </w:r>
          </w:p>
        </w:tc>
      </w:tr>
      <w:tr w:rsidR="00632420" w14:paraId="031EE754" w14:textId="77777777" w:rsidTr="00453DFA">
        <w:trPr>
          <w:cantSplit/>
        </w:trPr>
        <w:tc>
          <w:tcPr>
            <w:tcW w:w="4680" w:type="dxa"/>
            <w:tcBorders>
              <w:top w:val="nil"/>
              <w:left w:val="nil"/>
              <w:bottom w:val="single" w:sz="6" w:space="0" w:color="000000"/>
              <w:right w:val="dashSmallGap" w:sz="6" w:space="0" w:color="000000"/>
            </w:tcBorders>
          </w:tcPr>
          <w:p w14:paraId="0C661D99" w14:textId="77777777" w:rsidR="00632420" w:rsidRPr="006673C2" w:rsidRDefault="00632420" w:rsidP="00453DFA">
            <w:pPr>
              <w:spacing w:before="115" w:after="52" w:line="360" w:lineRule="auto"/>
              <w:rPr>
                <w:sz w:val="24"/>
                <w:szCs w:val="24"/>
              </w:rPr>
            </w:pPr>
            <w:r>
              <w:rPr>
                <w:sz w:val="24"/>
                <w:szCs w:val="24"/>
              </w:rPr>
              <w:t xml:space="preserve">                          Respondent.</w:t>
            </w:r>
          </w:p>
        </w:tc>
        <w:tc>
          <w:tcPr>
            <w:tcW w:w="4680" w:type="dxa"/>
            <w:tcBorders>
              <w:top w:val="nil"/>
              <w:left w:val="nil"/>
              <w:bottom w:val="nil"/>
              <w:right w:val="nil"/>
            </w:tcBorders>
          </w:tcPr>
          <w:p w14:paraId="448A279F" w14:textId="77777777" w:rsidR="00632420" w:rsidRDefault="00632420" w:rsidP="00453DFA">
            <w:pPr>
              <w:spacing w:before="115" w:after="52" w:line="360" w:lineRule="auto"/>
              <w:rPr>
                <w:sz w:val="24"/>
                <w:szCs w:val="24"/>
              </w:rPr>
            </w:pPr>
          </w:p>
        </w:tc>
      </w:tr>
    </w:tbl>
    <w:p w14:paraId="539D342B" w14:textId="77777777" w:rsidR="00632420" w:rsidRPr="002B3520" w:rsidRDefault="00632420" w:rsidP="00632420">
      <w:pPr>
        <w:spacing w:line="360" w:lineRule="auto"/>
        <w:jc w:val="both"/>
        <w:rPr>
          <w:sz w:val="24"/>
          <w:szCs w:val="24"/>
        </w:rPr>
      </w:pPr>
      <w:r>
        <w:rPr>
          <w:sz w:val="24"/>
          <w:szCs w:val="24"/>
        </w:rPr>
        <w:t xml:space="preserve"> </w:t>
      </w:r>
    </w:p>
    <w:p w14:paraId="50E7275F" w14:textId="77777777" w:rsidR="009767BC" w:rsidRDefault="00632420" w:rsidP="00632420">
      <w:pPr>
        <w:jc w:val="center"/>
        <w:rPr>
          <w:rFonts w:cs="Arrus BT"/>
          <w:b/>
          <w:bCs/>
          <w:sz w:val="24"/>
          <w:szCs w:val="24"/>
          <w:u w:val="single"/>
        </w:rPr>
      </w:pPr>
      <w:r w:rsidRPr="00257BEC">
        <w:rPr>
          <w:rFonts w:cs="Arrus BT"/>
          <w:b/>
          <w:bCs/>
          <w:sz w:val="24"/>
          <w:szCs w:val="24"/>
          <w:u w:val="single"/>
        </w:rPr>
        <w:t>ORDER</w:t>
      </w:r>
      <w:r>
        <w:rPr>
          <w:rFonts w:cs="Arrus BT"/>
          <w:b/>
          <w:bCs/>
          <w:sz w:val="24"/>
          <w:szCs w:val="24"/>
          <w:u w:val="single"/>
        </w:rPr>
        <w:t xml:space="preserve"> ACKNOWLEDGING PROPOSED </w:t>
      </w:r>
    </w:p>
    <w:p w14:paraId="4EDE3882" w14:textId="367D87FC" w:rsidR="00632420" w:rsidRPr="00257BEC" w:rsidRDefault="00CF6C7C" w:rsidP="00632420">
      <w:pPr>
        <w:jc w:val="center"/>
        <w:rPr>
          <w:rFonts w:cs="Arrus BT"/>
          <w:b/>
          <w:sz w:val="24"/>
          <w:szCs w:val="24"/>
          <w:u w:val="single"/>
        </w:rPr>
      </w:pPr>
      <w:r>
        <w:rPr>
          <w:rFonts w:cs="Arrus BT"/>
          <w:b/>
          <w:bCs/>
          <w:sz w:val="24"/>
          <w:szCs w:val="24"/>
          <w:u w:val="single"/>
        </w:rPr>
        <w:t>F</w:t>
      </w:r>
      <w:r w:rsidR="007577A1">
        <w:rPr>
          <w:rFonts w:cs="Arrus BT"/>
          <w:b/>
          <w:bCs/>
          <w:sz w:val="24"/>
          <w:szCs w:val="24"/>
          <w:u w:val="single"/>
        </w:rPr>
        <w:t>ULL</w:t>
      </w:r>
      <w:r>
        <w:rPr>
          <w:rFonts w:cs="Arrus BT"/>
          <w:b/>
          <w:bCs/>
          <w:sz w:val="24"/>
          <w:szCs w:val="24"/>
          <w:u w:val="single"/>
        </w:rPr>
        <w:t xml:space="preserve"> </w:t>
      </w:r>
      <w:r w:rsidR="00632420">
        <w:rPr>
          <w:rFonts w:cs="Arrus BT"/>
          <w:b/>
          <w:bCs/>
          <w:sz w:val="24"/>
          <w:szCs w:val="24"/>
          <w:u w:val="single"/>
        </w:rPr>
        <w:t>SETTLEMENT</w:t>
      </w:r>
    </w:p>
    <w:p w14:paraId="3E2ABAA1" w14:textId="77777777" w:rsidR="00632420" w:rsidRPr="00D62DF7" w:rsidRDefault="00632420" w:rsidP="00632420">
      <w:pPr>
        <w:jc w:val="center"/>
        <w:rPr>
          <w:rFonts w:cs="Arrus BT"/>
          <w:b/>
          <w:sz w:val="24"/>
          <w:szCs w:val="24"/>
          <w:u w:val="single"/>
        </w:rPr>
      </w:pPr>
    </w:p>
    <w:p w14:paraId="08467F72" w14:textId="77777777" w:rsidR="00632420" w:rsidRPr="0093058F" w:rsidRDefault="00632420" w:rsidP="00CE7FBF">
      <w:pPr>
        <w:spacing w:line="360" w:lineRule="auto"/>
        <w:ind w:firstLine="720"/>
        <w:jc w:val="both"/>
        <w:rPr>
          <w:sz w:val="24"/>
          <w:szCs w:val="24"/>
        </w:rPr>
      </w:pPr>
      <w:r w:rsidRPr="0093058F">
        <w:rPr>
          <w:sz w:val="24"/>
          <w:szCs w:val="24"/>
        </w:rPr>
        <w:t>By written notice filed in the Commission’s E-File System, counsel for the Complainant recently advised the Court that the parties have agreed to settlement terms to completely resolve this case. As a result of the reported settlement, any scheduled conference(s) with the Court and any scheduled hearing date(s) have been removed from the Court’s active calendar.</w:t>
      </w:r>
    </w:p>
    <w:p w14:paraId="1393DA6F" w14:textId="3B36C551" w:rsidR="00632420" w:rsidRPr="0093058F" w:rsidRDefault="00632420" w:rsidP="00CE7FBF">
      <w:pPr>
        <w:spacing w:line="360" w:lineRule="auto"/>
        <w:ind w:firstLine="720"/>
        <w:jc w:val="both"/>
        <w:rPr>
          <w:sz w:val="24"/>
          <w:szCs w:val="24"/>
        </w:rPr>
      </w:pPr>
      <w:r w:rsidRPr="0093058F">
        <w:rPr>
          <w:sz w:val="24"/>
          <w:szCs w:val="24"/>
        </w:rPr>
        <w:t>In accord with the revised Commission Rules regarding settlements,</w:t>
      </w:r>
      <w:r w:rsidRPr="00CE7FBF">
        <w:rPr>
          <w:rStyle w:val="FootnoteReference"/>
          <w:sz w:val="24"/>
          <w:szCs w:val="24"/>
        </w:rPr>
        <w:footnoteReference w:id="1"/>
      </w:r>
      <w:r w:rsidRPr="00CE7FBF">
        <w:rPr>
          <w:sz w:val="24"/>
          <w:szCs w:val="24"/>
        </w:rPr>
        <w:t xml:space="preserve"> </w:t>
      </w:r>
      <w:r w:rsidRPr="0093058F">
        <w:rPr>
          <w:b/>
          <w:sz w:val="24"/>
          <w:szCs w:val="24"/>
        </w:rPr>
        <w:t>within thirty (30) days</w:t>
      </w:r>
      <w:r w:rsidRPr="0093058F">
        <w:rPr>
          <w:sz w:val="24"/>
          <w:szCs w:val="24"/>
        </w:rPr>
        <w:t xml:space="preserve"> of this Order, using the Commission’s E-Filing System, the parties shall file the </w:t>
      </w:r>
      <w:r w:rsidR="00CF6C7C" w:rsidRPr="0093058F">
        <w:rPr>
          <w:sz w:val="24"/>
          <w:szCs w:val="24"/>
        </w:rPr>
        <w:t xml:space="preserve">fully, </w:t>
      </w:r>
      <w:r w:rsidRPr="0093058F">
        <w:rPr>
          <w:sz w:val="24"/>
          <w:szCs w:val="24"/>
        </w:rPr>
        <w:t xml:space="preserve">executed, </w:t>
      </w:r>
      <w:r w:rsidRPr="0093058F">
        <w:rPr>
          <w:b/>
          <w:sz w:val="24"/>
          <w:szCs w:val="24"/>
        </w:rPr>
        <w:t xml:space="preserve">joint Notification of Settlement </w:t>
      </w:r>
      <w:r w:rsidRPr="0093058F">
        <w:rPr>
          <w:sz w:val="24"/>
          <w:szCs w:val="24"/>
        </w:rPr>
        <w:t>pursuant to revised Commission Rule 100(b)(1), 29 C.F.R. § 2200.100(b)(1).</w:t>
      </w:r>
    </w:p>
    <w:p w14:paraId="64D1F7CF" w14:textId="77777777" w:rsidR="00632420" w:rsidRPr="0093058F" w:rsidRDefault="00632420" w:rsidP="00CE7FBF">
      <w:pPr>
        <w:spacing w:line="360" w:lineRule="auto"/>
        <w:ind w:firstLine="720"/>
        <w:jc w:val="both"/>
        <w:rPr>
          <w:sz w:val="24"/>
          <w:szCs w:val="24"/>
        </w:rPr>
      </w:pPr>
      <w:r w:rsidRPr="0093058F">
        <w:rPr>
          <w:sz w:val="24"/>
          <w:szCs w:val="24"/>
        </w:rPr>
        <w:t>The Notification of Settlement shall:</w:t>
      </w:r>
    </w:p>
    <w:p w14:paraId="661C9AEF" w14:textId="77777777" w:rsidR="00632420" w:rsidRPr="0093058F" w:rsidRDefault="00632420" w:rsidP="00CE7FBF">
      <w:pPr>
        <w:pStyle w:val="ListParagraph"/>
        <w:numPr>
          <w:ilvl w:val="0"/>
          <w:numId w:val="1"/>
        </w:numPr>
        <w:spacing w:after="0" w:line="360" w:lineRule="auto"/>
        <w:jc w:val="both"/>
        <w:rPr>
          <w:rFonts w:ascii="Times New Roman" w:hAnsi="Times New Roman" w:cs="Times New Roman"/>
        </w:rPr>
      </w:pPr>
      <w:r w:rsidRPr="0093058F">
        <w:rPr>
          <w:rFonts w:ascii="Times New Roman" w:hAnsi="Times New Roman" w:cs="Times New Roman"/>
        </w:rPr>
        <w:t>List the contested items that have been settled;</w:t>
      </w:r>
    </w:p>
    <w:p w14:paraId="7270C1C0" w14:textId="3F3C9037" w:rsidR="00632420" w:rsidRPr="0093058F" w:rsidRDefault="00632420" w:rsidP="00CE7FBF">
      <w:pPr>
        <w:pStyle w:val="ListParagraph"/>
        <w:numPr>
          <w:ilvl w:val="0"/>
          <w:numId w:val="1"/>
        </w:numPr>
        <w:spacing w:after="0" w:line="360" w:lineRule="auto"/>
        <w:jc w:val="both"/>
        <w:rPr>
          <w:rFonts w:ascii="Times New Roman" w:hAnsi="Times New Roman" w:cs="Times New Roman"/>
        </w:rPr>
      </w:pPr>
      <w:r w:rsidRPr="0093058F">
        <w:rPr>
          <w:rFonts w:ascii="Times New Roman" w:hAnsi="Times New Roman" w:cs="Times New Roman"/>
        </w:rPr>
        <w:t xml:space="preserve">Certify that the parties’ settlement agreement has been posted in the manner prescribed by revised Commission Rule 7(g); 29 C.F.R. §2200.7(g), to provide </w:t>
      </w:r>
      <w:r w:rsidRPr="0093058F">
        <w:rPr>
          <w:rFonts w:ascii="Times New Roman" w:hAnsi="Times New Roman" w:cs="Times New Roman"/>
        </w:rPr>
        <w:lastRenderedPageBreak/>
        <w:t>notice of the settlement to non-party affected employees.  Certify the date the settlement agreement was posted</w:t>
      </w:r>
      <w:r w:rsidR="0093058F">
        <w:rPr>
          <w:rFonts w:ascii="Times New Roman" w:hAnsi="Times New Roman" w:cs="Times New Roman"/>
        </w:rPr>
        <w:t>;</w:t>
      </w:r>
    </w:p>
    <w:p w14:paraId="6AC5D769" w14:textId="11755504" w:rsidR="00632420" w:rsidRPr="0093058F" w:rsidRDefault="00632420" w:rsidP="00CE7FBF">
      <w:pPr>
        <w:pStyle w:val="ListParagraph"/>
        <w:numPr>
          <w:ilvl w:val="0"/>
          <w:numId w:val="1"/>
        </w:numPr>
        <w:spacing w:after="0" w:line="360" w:lineRule="auto"/>
        <w:jc w:val="both"/>
        <w:rPr>
          <w:rFonts w:ascii="Times New Roman" w:hAnsi="Times New Roman" w:cs="Times New Roman"/>
        </w:rPr>
      </w:pPr>
      <w:r w:rsidRPr="0093058F">
        <w:rPr>
          <w:rFonts w:ascii="Times New Roman" w:hAnsi="Times New Roman" w:cs="Times New Roman"/>
        </w:rPr>
        <w:t>If party status has been elected under revised Commission Rule 20; 29 C.F.R. §2200.20, certify that the party was afforded an opportunity to provide input on all matters pertaining to the settlement before the agreement was finalized</w:t>
      </w:r>
      <w:r w:rsidR="0093058F">
        <w:rPr>
          <w:rFonts w:ascii="Times New Roman" w:hAnsi="Times New Roman" w:cs="Times New Roman"/>
        </w:rPr>
        <w:t>;</w:t>
      </w:r>
    </w:p>
    <w:p w14:paraId="42E5D04E" w14:textId="5D4B356C" w:rsidR="00632420" w:rsidRPr="0093058F" w:rsidRDefault="00632420" w:rsidP="00CE7FBF">
      <w:pPr>
        <w:pStyle w:val="ListParagraph"/>
        <w:numPr>
          <w:ilvl w:val="0"/>
          <w:numId w:val="1"/>
        </w:numPr>
        <w:spacing w:after="0" w:line="360" w:lineRule="auto"/>
        <w:jc w:val="both"/>
        <w:rPr>
          <w:rFonts w:ascii="Times New Roman" w:hAnsi="Times New Roman" w:cs="Times New Roman"/>
        </w:rPr>
      </w:pPr>
      <w:r w:rsidRPr="0093058F">
        <w:rPr>
          <w:rFonts w:ascii="Times New Roman" w:hAnsi="Times New Roman" w:cs="Times New Roman"/>
        </w:rPr>
        <w:t>If the settlement agreement includes the withdrawal of a notice of contest, citation, notification of proposed penalty, or petition for modification of abatement period, state whether such withdrawal is with prejudice</w:t>
      </w:r>
      <w:r w:rsidR="0093058F">
        <w:rPr>
          <w:rFonts w:ascii="Times New Roman" w:hAnsi="Times New Roman" w:cs="Times New Roman"/>
        </w:rPr>
        <w:t>;</w:t>
      </w:r>
    </w:p>
    <w:p w14:paraId="05750F3D" w14:textId="77777777" w:rsidR="00632420" w:rsidRPr="0093058F" w:rsidRDefault="00632420" w:rsidP="00CE7FBF">
      <w:pPr>
        <w:pStyle w:val="ListParagraph"/>
        <w:numPr>
          <w:ilvl w:val="0"/>
          <w:numId w:val="1"/>
        </w:numPr>
        <w:spacing w:after="0" w:line="360" w:lineRule="auto"/>
        <w:jc w:val="both"/>
        <w:rPr>
          <w:rFonts w:ascii="Times New Roman" w:hAnsi="Times New Roman" w:cs="Times New Roman"/>
        </w:rPr>
      </w:pPr>
      <w:r w:rsidRPr="0093058F">
        <w:rPr>
          <w:rFonts w:ascii="Times New Roman" w:hAnsi="Times New Roman" w:cs="Times New Roman"/>
        </w:rPr>
        <w:t>File a proof of service with the Notification of Settlement, showing service upon all parties and authorized employee representatives in the manner prescribed by revised Commission Rules 7(c) and (d); 29 C.F.R. 2200.7(c), (d), and posting of the notice to non-party affected employees in the manner prescribed by revised Commission Rule 7(g); 29 C.F.R. §2200.7(g).</w:t>
      </w:r>
    </w:p>
    <w:p w14:paraId="76D654E6" w14:textId="77777777" w:rsidR="00632420" w:rsidRPr="0093058F" w:rsidRDefault="00632420" w:rsidP="00CE7FBF">
      <w:pPr>
        <w:spacing w:line="360" w:lineRule="auto"/>
        <w:ind w:firstLine="720"/>
        <w:jc w:val="both"/>
        <w:rPr>
          <w:sz w:val="24"/>
          <w:szCs w:val="24"/>
        </w:rPr>
      </w:pPr>
      <w:r w:rsidRPr="0093058F">
        <w:rPr>
          <w:b/>
          <w:i/>
          <w:sz w:val="24"/>
          <w:szCs w:val="24"/>
        </w:rPr>
        <w:t>The parties shall not incorporate the settlement agreement in, or append it to, the joint Notification of Settlement</w:t>
      </w:r>
      <w:r w:rsidRPr="0093058F">
        <w:rPr>
          <w:i/>
          <w:sz w:val="24"/>
          <w:szCs w:val="24"/>
        </w:rPr>
        <w:t>.</w:t>
      </w:r>
      <w:r w:rsidRPr="0093058F">
        <w:rPr>
          <w:sz w:val="24"/>
          <w:szCs w:val="24"/>
        </w:rPr>
        <w:t xml:space="preserve">  The parties shall not substitute the settlement agreement for the required joint submission.  </w:t>
      </w:r>
      <w:r w:rsidRPr="0093058F">
        <w:rPr>
          <w:i/>
          <w:sz w:val="24"/>
          <w:szCs w:val="24"/>
        </w:rPr>
        <w:t>See</w:t>
      </w:r>
      <w:r w:rsidRPr="0093058F">
        <w:rPr>
          <w:sz w:val="24"/>
          <w:szCs w:val="24"/>
        </w:rPr>
        <w:t xml:space="preserve"> revised Commission Rule 100(b)(2).  </w:t>
      </w:r>
    </w:p>
    <w:p w14:paraId="1783EF2C" w14:textId="77777777" w:rsidR="00632420" w:rsidRPr="0093058F" w:rsidRDefault="00632420" w:rsidP="00CE7FBF">
      <w:pPr>
        <w:spacing w:line="360" w:lineRule="auto"/>
        <w:ind w:firstLine="720"/>
        <w:jc w:val="both"/>
        <w:rPr>
          <w:sz w:val="24"/>
          <w:szCs w:val="24"/>
        </w:rPr>
      </w:pPr>
      <w:r w:rsidRPr="0093058F">
        <w:rPr>
          <w:sz w:val="24"/>
          <w:szCs w:val="24"/>
        </w:rPr>
        <w:t xml:space="preserve">Together with the Notification of Settlement the parties shall file, for execution by the Judge, a </w:t>
      </w:r>
      <w:r w:rsidRPr="0093058F">
        <w:rPr>
          <w:b/>
          <w:sz w:val="24"/>
          <w:szCs w:val="24"/>
        </w:rPr>
        <w:t>draft Order Terminating Proceeding</w:t>
      </w:r>
      <w:r w:rsidRPr="0093058F">
        <w:rPr>
          <w:sz w:val="24"/>
          <w:szCs w:val="24"/>
        </w:rPr>
        <w:t xml:space="preserve">, acknowledging that the parties have  resolved  all contested citation items and agreed to terminate the proceeding before the Commission, pursuant to revised Commission Rule 100(b)(3), (c); 29 C.F.R. § 100(b)(3), (c).  </w:t>
      </w:r>
    </w:p>
    <w:p w14:paraId="3B7B28F3" w14:textId="393F2647" w:rsidR="001766BC" w:rsidRPr="0093058F" w:rsidRDefault="008F4873" w:rsidP="00CE7FBF">
      <w:pPr>
        <w:spacing w:line="360" w:lineRule="auto"/>
        <w:ind w:firstLine="720"/>
        <w:jc w:val="both"/>
        <w:rPr>
          <w:sz w:val="24"/>
          <w:szCs w:val="24"/>
        </w:rPr>
      </w:pPr>
      <w:r w:rsidRPr="0093058F">
        <w:rPr>
          <w:sz w:val="24"/>
          <w:szCs w:val="24"/>
        </w:rPr>
        <w:t>J</w:t>
      </w:r>
      <w:r w:rsidR="001766BC" w:rsidRPr="0093058F">
        <w:rPr>
          <w:sz w:val="24"/>
          <w:szCs w:val="24"/>
        </w:rPr>
        <w:t>oint Notification of Settlement and Order Terminatin</w:t>
      </w:r>
      <w:r w:rsidR="005D674B" w:rsidRPr="0093058F">
        <w:rPr>
          <w:sz w:val="24"/>
          <w:szCs w:val="24"/>
        </w:rPr>
        <w:t>g</w:t>
      </w:r>
      <w:r w:rsidR="001766BC" w:rsidRPr="0093058F">
        <w:rPr>
          <w:sz w:val="24"/>
          <w:szCs w:val="24"/>
        </w:rPr>
        <w:t xml:space="preserve"> Proceeding</w:t>
      </w:r>
      <w:r w:rsidRPr="0093058F">
        <w:rPr>
          <w:sz w:val="24"/>
          <w:szCs w:val="24"/>
        </w:rPr>
        <w:t xml:space="preserve">, sample forms, are available on </w:t>
      </w:r>
      <w:r w:rsidR="001766BC" w:rsidRPr="0093058F">
        <w:rPr>
          <w:sz w:val="24"/>
          <w:szCs w:val="24"/>
        </w:rPr>
        <w:t>the Commission’s website homepage</w:t>
      </w:r>
      <w:r w:rsidRPr="0093058F">
        <w:rPr>
          <w:sz w:val="24"/>
          <w:szCs w:val="24"/>
        </w:rPr>
        <w:t xml:space="preserve"> at </w:t>
      </w:r>
      <w:r w:rsidR="001A064E" w:rsidRPr="00CE7FBF">
        <w:rPr>
          <w:sz w:val="24"/>
          <w:szCs w:val="24"/>
        </w:rPr>
        <w:t>https://www.oshrc.gov/sample</w:t>
      </w:r>
      <w:r w:rsidR="00CE7FBF" w:rsidRPr="00CE7FBF">
        <w:rPr>
          <w:sz w:val="24"/>
          <w:szCs w:val="24"/>
        </w:rPr>
        <w:t>docum</w:t>
      </w:r>
      <w:r w:rsidR="00CE7FBF">
        <w:rPr>
          <w:sz w:val="24"/>
          <w:szCs w:val="24"/>
        </w:rPr>
        <w:t>ents</w:t>
      </w:r>
      <w:r w:rsidRPr="0093058F">
        <w:rPr>
          <w:sz w:val="24"/>
          <w:szCs w:val="24"/>
        </w:rPr>
        <w:t xml:space="preserve">. </w:t>
      </w:r>
      <w:r w:rsidR="001766BC" w:rsidRPr="0093058F">
        <w:rPr>
          <w:sz w:val="24"/>
          <w:szCs w:val="24"/>
        </w:rPr>
        <w:t xml:space="preserve">  </w:t>
      </w:r>
    </w:p>
    <w:p w14:paraId="205EE05F" w14:textId="77777777" w:rsidR="00632420" w:rsidRPr="0093058F" w:rsidRDefault="00632420" w:rsidP="00CE7FBF">
      <w:pPr>
        <w:spacing w:line="360" w:lineRule="auto"/>
        <w:ind w:firstLine="720"/>
        <w:jc w:val="both"/>
        <w:rPr>
          <w:sz w:val="24"/>
          <w:szCs w:val="24"/>
        </w:rPr>
      </w:pPr>
      <w:r w:rsidRPr="0093058F">
        <w:rPr>
          <w:sz w:val="24"/>
          <w:szCs w:val="24"/>
        </w:rPr>
        <w:t xml:space="preserve">Commission policy favors settlement.  Prompt receipt of the complete, executed, joint Notification of Settlement must be received before the undersigned Judge may issue the Order Terminating Proceeding.  </w:t>
      </w:r>
    </w:p>
    <w:p w14:paraId="72D24E90" w14:textId="1C672F6C" w:rsidR="00632420" w:rsidRPr="00CE7FBF" w:rsidRDefault="00632420" w:rsidP="00CE7FBF">
      <w:pPr>
        <w:spacing w:line="360" w:lineRule="auto"/>
        <w:ind w:firstLine="720"/>
        <w:jc w:val="both"/>
        <w:rPr>
          <w:sz w:val="24"/>
          <w:szCs w:val="24"/>
        </w:rPr>
      </w:pPr>
      <w:r w:rsidRPr="0093058F">
        <w:rPr>
          <w:sz w:val="24"/>
          <w:szCs w:val="24"/>
        </w:rPr>
        <w:t xml:space="preserve">Accordingly, if the complete, executed, joint Notification of Settlement is not filed in the Commission’s E-File System </w:t>
      </w:r>
      <w:r w:rsidRPr="0093058F">
        <w:rPr>
          <w:b/>
          <w:sz w:val="24"/>
          <w:szCs w:val="24"/>
        </w:rPr>
        <w:t>within thirty (30) days of this Order</w:t>
      </w:r>
      <w:r w:rsidRPr="0093058F">
        <w:rPr>
          <w:sz w:val="24"/>
          <w:szCs w:val="24"/>
        </w:rPr>
        <w:t>, this case will be placed on the active hearing calendar</w:t>
      </w:r>
      <w:r w:rsidR="000F2DF3" w:rsidRPr="0093058F">
        <w:rPr>
          <w:sz w:val="24"/>
          <w:szCs w:val="24"/>
        </w:rPr>
        <w:t xml:space="preserve"> and a hearing will be scheduled</w:t>
      </w:r>
      <w:r w:rsidRPr="0093058F">
        <w:rPr>
          <w:sz w:val="24"/>
          <w:szCs w:val="24"/>
        </w:rPr>
        <w:t xml:space="preserve">.  </w:t>
      </w:r>
      <w:r w:rsidR="007577A1" w:rsidRPr="0093058F">
        <w:rPr>
          <w:sz w:val="24"/>
          <w:szCs w:val="24"/>
        </w:rPr>
        <w:t xml:space="preserve">    </w:t>
      </w:r>
      <w:r w:rsidRPr="0093058F">
        <w:rPr>
          <w:sz w:val="24"/>
          <w:szCs w:val="24"/>
        </w:rPr>
        <w:tab/>
      </w:r>
    </w:p>
    <w:p w14:paraId="091CD10B" w14:textId="77777777" w:rsidR="00632420" w:rsidRPr="00CE7FBF" w:rsidRDefault="00632420" w:rsidP="00CE7FBF">
      <w:pPr>
        <w:spacing w:line="360" w:lineRule="auto"/>
        <w:ind w:firstLine="720"/>
        <w:jc w:val="both"/>
        <w:rPr>
          <w:sz w:val="24"/>
          <w:szCs w:val="24"/>
        </w:rPr>
      </w:pPr>
    </w:p>
    <w:p w14:paraId="318C47AC" w14:textId="77777777" w:rsidR="00632420" w:rsidRPr="00CE7FBF" w:rsidRDefault="00632420" w:rsidP="00CE7FBF">
      <w:pPr>
        <w:spacing w:line="360" w:lineRule="auto"/>
        <w:jc w:val="both"/>
        <w:rPr>
          <w:sz w:val="24"/>
          <w:szCs w:val="24"/>
        </w:rPr>
      </w:pPr>
      <w:proofErr w:type="gramStart"/>
      <w:r w:rsidRPr="00CE7FBF">
        <w:rPr>
          <w:sz w:val="24"/>
          <w:szCs w:val="24"/>
        </w:rPr>
        <w:lastRenderedPageBreak/>
        <w:t>SO</w:t>
      </w:r>
      <w:proofErr w:type="gramEnd"/>
      <w:r w:rsidRPr="00CE7FBF">
        <w:rPr>
          <w:sz w:val="24"/>
          <w:szCs w:val="24"/>
        </w:rPr>
        <w:t xml:space="preserve"> ORDERED. </w:t>
      </w:r>
    </w:p>
    <w:p w14:paraId="6DA65F8F" w14:textId="77777777" w:rsidR="00632420" w:rsidRPr="00CE7FBF" w:rsidRDefault="00632420" w:rsidP="00CE7FBF">
      <w:pPr>
        <w:spacing w:line="360" w:lineRule="auto"/>
        <w:jc w:val="both"/>
        <w:rPr>
          <w:sz w:val="24"/>
          <w:szCs w:val="24"/>
        </w:rPr>
      </w:pPr>
    </w:p>
    <w:p w14:paraId="22ACD521" w14:textId="77777777" w:rsidR="00632420" w:rsidRPr="00CE7FBF" w:rsidRDefault="00632420" w:rsidP="00CE7FBF">
      <w:pPr>
        <w:spacing w:line="360" w:lineRule="auto"/>
        <w:jc w:val="both"/>
        <w:rPr>
          <w:sz w:val="24"/>
          <w:szCs w:val="24"/>
        </w:rPr>
      </w:pPr>
      <w:r w:rsidRPr="00CE7FBF">
        <w:rPr>
          <w:sz w:val="24"/>
          <w:szCs w:val="24"/>
        </w:rPr>
        <w:tab/>
      </w:r>
      <w:r w:rsidRPr="00CE7FBF">
        <w:rPr>
          <w:sz w:val="24"/>
          <w:szCs w:val="24"/>
        </w:rPr>
        <w:tab/>
      </w:r>
      <w:r w:rsidRPr="00CE7FBF">
        <w:rPr>
          <w:sz w:val="24"/>
          <w:szCs w:val="24"/>
        </w:rPr>
        <w:tab/>
      </w:r>
      <w:r w:rsidRPr="00CE7FBF">
        <w:rPr>
          <w:sz w:val="24"/>
          <w:szCs w:val="24"/>
        </w:rPr>
        <w:tab/>
      </w:r>
      <w:r w:rsidRPr="00CE7FBF">
        <w:rPr>
          <w:sz w:val="24"/>
          <w:szCs w:val="24"/>
        </w:rPr>
        <w:tab/>
      </w:r>
      <w:r w:rsidRPr="00CE7FBF">
        <w:rPr>
          <w:sz w:val="24"/>
          <w:szCs w:val="24"/>
        </w:rPr>
        <w:tab/>
        <w:t>_____________________________</w:t>
      </w:r>
    </w:p>
    <w:p w14:paraId="5B792748" w14:textId="77777777" w:rsidR="00632420" w:rsidRPr="00CE7FBF" w:rsidRDefault="00632420" w:rsidP="00CE7FBF">
      <w:pPr>
        <w:spacing w:line="360" w:lineRule="auto"/>
        <w:jc w:val="both"/>
        <w:rPr>
          <w:sz w:val="24"/>
          <w:szCs w:val="24"/>
        </w:rPr>
      </w:pPr>
      <w:r w:rsidRPr="00CE7FBF">
        <w:rPr>
          <w:sz w:val="24"/>
          <w:szCs w:val="24"/>
        </w:rPr>
        <w:tab/>
      </w:r>
      <w:r w:rsidRPr="00CE7FBF">
        <w:rPr>
          <w:sz w:val="24"/>
          <w:szCs w:val="24"/>
        </w:rPr>
        <w:tab/>
      </w:r>
      <w:r w:rsidRPr="00CE7FBF">
        <w:rPr>
          <w:sz w:val="24"/>
          <w:szCs w:val="24"/>
        </w:rPr>
        <w:tab/>
      </w:r>
      <w:r w:rsidRPr="00CE7FBF">
        <w:rPr>
          <w:sz w:val="24"/>
          <w:szCs w:val="24"/>
        </w:rPr>
        <w:tab/>
      </w:r>
      <w:r w:rsidRPr="00CE7FBF">
        <w:rPr>
          <w:sz w:val="24"/>
          <w:szCs w:val="24"/>
        </w:rPr>
        <w:tab/>
      </w:r>
      <w:r w:rsidRPr="00CE7FBF">
        <w:rPr>
          <w:sz w:val="24"/>
          <w:szCs w:val="24"/>
        </w:rPr>
        <w:tab/>
        <w:t xml:space="preserve"> Judge, OSHRC</w:t>
      </w:r>
    </w:p>
    <w:p w14:paraId="51E4DC42" w14:textId="77777777" w:rsidR="00632420" w:rsidRPr="00CE7FBF" w:rsidRDefault="00632420" w:rsidP="00CE7FBF">
      <w:pPr>
        <w:spacing w:line="360" w:lineRule="auto"/>
        <w:jc w:val="both"/>
        <w:rPr>
          <w:sz w:val="24"/>
          <w:szCs w:val="24"/>
        </w:rPr>
      </w:pPr>
      <w:r w:rsidRPr="00CE7FBF">
        <w:rPr>
          <w:sz w:val="24"/>
          <w:szCs w:val="24"/>
        </w:rPr>
        <w:t xml:space="preserve">Dated: </w:t>
      </w:r>
    </w:p>
    <w:p w14:paraId="53E2A76B" w14:textId="77777777" w:rsidR="00632420" w:rsidRPr="00CE7FBF" w:rsidRDefault="00632420" w:rsidP="00CE7FBF">
      <w:pPr>
        <w:spacing w:line="360" w:lineRule="auto"/>
        <w:jc w:val="both"/>
        <w:rPr>
          <w:sz w:val="24"/>
          <w:szCs w:val="24"/>
        </w:rPr>
      </w:pPr>
      <w:r w:rsidRPr="00CE7FBF">
        <w:rPr>
          <w:sz w:val="24"/>
          <w:szCs w:val="24"/>
        </w:rPr>
        <w:tab/>
        <w:t>Washington, D.C.</w:t>
      </w:r>
    </w:p>
    <w:p w14:paraId="393D8CBD" w14:textId="4A480D1C" w:rsidR="0093058F" w:rsidRDefault="0093058F">
      <w:pPr>
        <w:autoSpaceDE/>
        <w:autoSpaceDN/>
        <w:adjustRightInd/>
        <w:spacing w:after="160" w:line="259" w:lineRule="auto"/>
        <w:rPr>
          <w:sz w:val="24"/>
          <w:szCs w:val="24"/>
        </w:rPr>
      </w:pPr>
      <w:r>
        <w:rPr>
          <w:sz w:val="24"/>
          <w:szCs w:val="24"/>
        </w:rPr>
        <w:br w:type="page"/>
      </w:r>
    </w:p>
    <w:p w14:paraId="3595BE4D" w14:textId="77777777" w:rsidR="00632420" w:rsidRPr="0093058F" w:rsidRDefault="00632420" w:rsidP="00CE7FBF">
      <w:pPr>
        <w:spacing w:line="360" w:lineRule="auto"/>
        <w:jc w:val="center"/>
        <w:rPr>
          <w:rFonts w:eastAsia="Times New Roman"/>
          <w:b/>
          <w:sz w:val="24"/>
          <w:szCs w:val="24"/>
        </w:rPr>
      </w:pPr>
      <w:r w:rsidRPr="0093058F">
        <w:rPr>
          <w:rFonts w:eastAsia="Times New Roman"/>
          <w:b/>
          <w:sz w:val="24"/>
          <w:szCs w:val="24"/>
        </w:rPr>
        <w:lastRenderedPageBreak/>
        <w:t>CERTIFICATE OF SERVICE</w:t>
      </w:r>
    </w:p>
    <w:p w14:paraId="588757A8" w14:textId="77777777" w:rsidR="00632420" w:rsidRPr="0093058F" w:rsidRDefault="00632420" w:rsidP="00CE7FBF">
      <w:pPr>
        <w:spacing w:line="360" w:lineRule="auto"/>
        <w:jc w:val="both"/>
        <w:rPr>
          <w:rFonts w:eastAsia="Times New Roman"/>
          <w:sz w:val="24"/>
          <w:szCs w:val="24"/>
        </w:rPr>
      </w:pPr>
      <w:r w:rsidRPr="0093058F">
        <w:rPr>
          <w:rFonts w:eastAsia="Times New Roman"/>
          <w:sz w:val="24"/>
          <w:szCs w:val="24"/>
        </w:rPr>
        <w:t xml:space="preserve">This is to certify that a copy of the Order </w:t>
      </w:r>
      <w:r w:rsidR="008F4873" w:rsidRPr="0093058F">
        <w:rPr>
          <w:rFonts w:eastAsia="Times New Roman"/>
          <w:sz w:val="24"/>
          <w:szCs w:val="24"/>
        </w:rPr>
        <w:t xml:space="preserve">Acknowledging Proposed Settlement </w:t>
      </w:r>
      <w:r w:rsidRPr="0093058F">
        <w:rPr>
          <w:rFonts w:eastAsia="Times New Roman"/>
          <w:sz w:val="24"/>
          <w:szCs w:val="24"/>
        </w:rPr>
        <w:t xml:space="preserve">was </w:t>
      </w:r>
      <w:r w:rsidR="008F4873" w:rsidRPr="0093058F">
        <w:rPr>
          <w:rFonts w:eastAsia="Times New Roman"/>
          <w:sz w:val="24"/>
          <w:szCs w:val="24"/>
        </w:rPr>
        <w:t xml:space="preserve">sent electronically </w:t>
      </w:r>
      <w:r w:rsidRPr="0093058F">
        <w:rPr>
          <w:rFonts w:eastAsia="Times New Roman"/>
          <w:sz w:val="24"/>
          <w:szCs w:val="24"/>
        </w:rPr>
        <w:t>to the parties listed below</w:t>
      </w:r>
      <w:r w:rsidRPr="0093058F">
        <w:rPr>
          <w:rFonts w:eastAsia="Times New Roman"/>
          <w:color w:val="FF0000"/>
          <w:sz w:val="24"/>
          <w:szCs w:val="24"/>
        </w:rPr>
        <w:t xml:space="preserve"> </w:t>
      </w:r>
      <w:r w:rsidRPr="0093058F">
        <w:rPr>
          <w:rFonts w:eastAsia="Times New Roman"/>
          <w:sz w:val="24"/>
          <w:szCs w:val="24"/>
        </w:rPr>
        <w:t xml:space="preserve">on </w:t>
      </w:r>
      <w:r w:rsidR="008F4873" w:rsidRPr="0093058F">
        <w:rPr>
          <w:rFonts w:eastAsia="Times New Roman"/>
          <w:sz w:val="24"/>
          <w:szCs w:val="24"/>
        </w:rPr>
        <w:t>______________________</w:t>
      </w:r>
    </w:p>
    <w:p w14:paraId="5B3AC071" w14:textId="77777777" w:rsidR="00632420" w:rsidRPr="0093058F" w:rsidRDefault="00632420" w:rsidP="00CE7FBF">
      <w:pPr>
        <w:tabs>
          <w:tab w:val="left" w:pos="187"/>
          <w:tab w:val="left" w:pos="5760"/>
          <w:tab w:val="center" w:pos="7290"/>
        </w:tabs>
        <w:spacing w:line="360" w:lineRule="auto"/>
        <w:jc w:val="both"/>
        <w:rPr>
          <w:rFonts w:eastAsia="Times New Roman"/>
          <w:sz w:val="24"/>
          <w:szCs w:val="24"/>
        </w:rPr>
      </w:pPr>
    </w:p>
    <w:p w14:paraId="77F584EA" w14:textId="77777777" w:rsidR="00632420" w:rsidRPr="00CE7FBF" w:rsidRDefault="00632420" w:rsidP="00CE7FBF">
      <w:pPr>
        <w:tabs>
          <w:tab w:val="left" w:pos="181"/>
          <w:tab w:val="left" w:pos="3327"/>
        </w:tabs>
        <w:spacing w:line="360" w:lineRule="auto"/>
        <w:jc w:val="both"/>
        <w:rPr>
          <w:rFonts w:eastAsia="Times New Roman"/>
          <w:sz w:val="24"/>
          <w:szCs w:val="24"/>
        </w:rPr>
      </w:pPr>
    </w:p>
    <w:p w14:paraId="20F90B5B" w14:textId="77777777" w:rsidR="00632420" w:rsidRPr="0093058F" w:rsidRDefault="00632420" w:rsidP="00CE7FBF">
      <w:pPr>
        <w:spacing w:line="360" w:lineRule="auto"/>
        <w:jc w:val="both"/>
        <w:rPr>
          <w:color w:val="000000"/>
          <w:sz w:val="24"/>
          <w:szCs w:val="24"/>
        </w:rPr>
      </w:pPr>
    </w:p>
    <w:p w14:paraId="3BCFB5B2" w14:textId="77777777" w:rsidR="00632420" w:rsidRPr="0093058F" w:rsidRDefault="00632420" w:rsidP="00CE7FBF">
      <w:pPr>
        <w:spacing w:line="360" w:lineRule="auto"/>
        <w:jc w:val="both"/>
        <w:rPr>
          <w:sz w:val="24"/>
          <w:szCs w:val="24"/>
        </w:rPr>
      </w:pPr>
    </w:p>
    <w:p w14:paraId="2A7A3A18" w14:textId="77777777" w:rsidR="00632420" w:rsidRPr="0093058F" w:rsidRDefault="00632420" w:rsidP="00CE7FBF">
      <w:pPr>
        <w:spacing w:line="360" w:lineRule="auto"/>
        <w:jc w:val="both"/>
        <w:rPr>
          <w:sz w:val="24"/>
          <w:szCs w:val="24"/>
        </w:rPr>
      </w:pP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r>
      <w:r w:rsidRPr="0093058F">
        <w:rPr>
          <w:i/>
          <w:sz w:val="24"/>
          <w:szCs w:val="24"/>
          <w:u w:val="single"/>
        </w:rPr>
        <w:t>/s/______________________</w:t>
      </w:r>
      <w:r w:rsidRPr="00CE7FB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t xml:space="preserve">           </w:t>
      </w:r>
      <w:r w:rsidRPr="0093058F">
        <w:rPr>
          <w:sz w:val="24"/>
          <w:szCs w:val="24"/>
        </w:rPr>
        <w:tab/>
      </w:r>
      <w:r w:rsidRPr="0093058F">
        <w:rPr>
          <w:sz w:val="24"/>
          <w:szCs w:val="24"/>
        </w:rPr>
        <w:tab/>
      </w:r>
      <w:r w:rsidRPr="0093058F">
        <w:rPr>
          <w:sz w:val="24"/>
          <w:szCs w:val="24"/>
        </w:rPr>
        <w:tab/>
        <w:t xml:space="preserve">____________, Legal Assistant </w:t>
      </w:r>
    </w:p>
    <w:p w14:paraId="2E1368B0" w14:textId="77777777" w:rsidR="00632420" w:rsidRPr="0093058F" w:rsidRDefault="00632420" w:rsidP="00CE7FBF">
      <w:pPr>
        <w:spacing w:line="360" w:lineRule="auto"/>
        <w:jc w:val="both"/>
        <w:rPr>
          <w:sz w:val="24"/>
          <w:szCs w:val="24"/>
        </w:rPr>
      </w:pPr>
    </w:p>
    <w:p w14:paraId="39A3E3BB" w14:textId="77777777" w:rsidR="00632420" w:rsidRPr="0093058F" w:rsidRDefault="00632420" w:rsidP="00CE7FBF">
      <w:pPr>
        <w:spacing w:line="360" w:lineRule="auto"/>
        <w:jc w:val="both"/>
        <w:rPr>
          <w:sz w:val="24"/>
          <w:szCs w:val="24"/>
        </w:rPr>
      </w:pP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t>Post Office Address:</w:t>
      </w:r>
    </w:p>
    <w:p w14:paraId="5F6454D3" w14:textId="77777777" w:rsidR="00632420" w:rsidRPr="0093058F" w:rsidRDefault="00632420" w:rsidP="00CE7FBF">
      <w:pPr>
        <w:spacing w:line="360" w:lineRule="auto"/>
        <w:jc w:val="both"/>
        <w:rPr>
          <w:sz w:val="24"/>
          <w:szCs w:val="24"/>
        </w:rPr>
      </w:pP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t>Judge _______________________</w:t>
      </w:r>
    </w:p>
    <w:p w14:paraId="2716FEF7" w14:textId="77777777" w:rsidR="00632420" w:rsidRPr="00CE7FBF" w:rsidRDefault="00632420" w:rsidP="00CE7FBF">
      <w:pPr>
        <w:spacing w:line="360" w:lineRule="auto"/>
        <w:jc w:val="both"/>
        <w:rPr>
          <w:sz w:val="24"/>
          <w:szCs w:val="24"/>
        </w:rPr>
      </w:pP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r>
      <w:r w:rsidRPr="0093058F">
        <w:rPr>
          <w:sz w:val="24"/>
          <w:szCs w:val="24"/>
        </w:rPr>
        <w:tab/>
      </w:r>
      <w:r w:rsidRPr="00CE7FBF">
        <w:rPr>
          <w:sz w:val="24"/>
          <w:szCs w:val="24"/>
        </w:rPr>
        <w:t xml:space="preserve"> </w:t>
      </w:r>
    </w:p>
    <w:p w14:paraId="38401B2E" w14:textId="77777777" w:rsidR="00632420" w:rsidRPr="00CE7FBF" w:rsidRDefault="00632420" w:rsidP="00CE7FBF">
      <w:pPr>
        <w:spacing w:line="360" w:lineRule="auto"/>
        <w:jc w:val="both"/>
        <w:rPr>
          <w:sz w:val="24"/>
          <w:szCs w:val="24"/>
        </w:rPr>
      </w:pPr>
    </w:p>
    <w:bookmarkEnd w:id="0"/>
    <w:p w14:paraId="0E5F7833" w14:textId="77777777" w:rsidR="00632420" w:rsidRPr="00CE7FBF" w:rsidRDefault="00632420" w:rsidP="00CE7FBF">
      <w:pPr>
        <w:spacing w:line="360" w:lineRule="auto"/>
        <w:jc w:val="both"/>
        <w:rPr>
          <w:sz w:val="24"/>
          <w:szCs w:val="24"/>
        </w:rPr>
      </w:pPr>
    </w:p>
    <w:p w14:paraId="7F92F0C0" w14:textId="77777777" w:rsidR="00FF76E2" w:rsidRPr="00CE7FBF" w:rsidRDefault="00EE486F" w:rsidP="00CE7FBF">
      <w:pPr>
        <w:spacing w:line="360" w:lineRule="auto"/>
        <w:jc w:val="both"/>
        <w:rPr>
          <w:sz w:val="24"/>
          <w:szCs w:val="24"/>
        </w:rPr>
      </w:pPr>
    </w:p>
    <w:sectPr w:rsidR="00FF76E2" w:rsidRPr="00CE7FBF" w:rsidSect="00CE7FBF">
      <w:footerReference w:type="default" r:id="rId8"/>
      <w:footerReference w:type="first" r:id="rId9"/>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C72A" w14:textId="77777777" w:rsidR="00CB283B" w:rsidRDefault="00CB283B" w:rsidP="00632420">
      <w:r>
        <w:separator/>
      </w:r>
    </w:p>
  </w:endnote>
  <w:endnote w:type="continuationSeparator" w:id="0">
    <w:p w14:paraId="392F1302" w14:textId="77777777" w:rsidR="00CB283B" w:rsidRDefault="00CB283B" w:rsidP="0063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433861"/>
      <w:docPartObj>
        <w:docPartGallery w:val="Page Numbers (Bottom of Page)"/>
        <w:docPartUnique/>
      </w:docPartObj>
    </w:sdtPr>
    <w:sdtEndPr>
      <w:rPr>
        <w:noProof/>
      </w:rPr>
    </w:sdtEndPr>
    <w:sdtContent>
      <w:p w14:paraId="28D7802C" w14:textId="77777777" w:rsidR="0093058F" w:rsidRDefault="0093058F">
        <w:pPr>
          <w:pStyle w:val="Footer"/>
          <w:jc w:val="center"/>
        </w:pPr>
      </w:p>
      <w:p w14:paraId="757CF054" w14:textId="539C28D6" w:rsidR="00DB6A1A" w:rsidRDefault="009767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CC91D" w14:textId="77777777" w:rsidR="00DB6A1A" w:rsidRDefault="00EE4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41BA" w14:textId="5A3A9113" w:rsidR="00DB6A1A" w:rsidRDefault="00EE486F">
    <w:pPr>
      <w:pStyle w:val="Footer"/>
      <w:jc w:val="center"/>
    </w:pPr>
  </w:p>
  <w:p w14:paraId="65AE3823" w14:textId="77777777" w:rsidR="00DB6A1A" w:rsidRDefault="00EE4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38ED5" w14:textId="77777777" w:rsidR="00CB283B" w:rsidRDefault="00CB283B" w:rsidP="00632420">
      <w:r>
        <w:separator/>
      </w:r>
    </w:p>
  </w:footnote>
  <w:footnote w:type="continuationSeparator" w:id="0">
    <w:p w14:paraId="5CB06C5C" w14:textId="77777777" w:rsidR="00CB283B" w:rsidRDefault="00CB283B" w:rsidP="00632420">
      <w:r>
        <w:continuationSeparator/>
      </w:r>
    </w:p>
  </w:footnote>
  <w:footnote w:id="1">
    <w:p w14:paraId="2C393859" w14:textId="2CFBC347" w:rsidR="00632420" w:rsidRPr="00CE7FBF" w:rsidRDefault="00632420" w:rsidP="0093058F">
      <w:pPr>
        <w:pStyle w:val="FootnoteText"/>
        <w:jc w:val="both"/>
        <w:rPr>
          <w:rFonts w:ascii="Times New Roman" w:hAnsi="Times New Roman" w:cs="Times New Roman"/>
          <w:sz w:val="22"/>
          <w:szCs w:val="22"/>
        </w:rPr>
      </w:pPr>
      <w:r w:rsidRPr="00CE7FBF">
        <w:rPr>
          <w:rStyle w:val="FootnoteReference"/>
          <w:rFonts w:ascii="Times New Roman" w:hAnsi="Times New Roman" w:cs="Times New Roman"/>
          <w:sz w:val="22"/>
          <w:szCs w:val="22"/>
        </w:rPr>
        <w:footnoteRef/>
      </w:r>
      <w:r w:rsidRPr="00CE7FBF">
        <w:rPr>
          <w:rFonts w:ascii="Times New Roman" w:hAnsi="Times New Roman" w:cs="Times New Roman"/>
          <w:sz w:val="22"/>
          <w:szCs w:val="22"/>
        </w:rPr>
        <w:t xml:space="preserve"> </w:t>
      </w:r>
      <w:r w:rsidR="004D7F95" w:rsidRPr="00CE7FBF">
        <w:rPr>
          <w:rFonts w:ascii="Times New Roman" w:hAnsi="Times New Roman" w:cs="Times New Roman"/>
          <w:sz w:val="22"/>
          <w:szCs w:val="22"/>
        </w:rPr>
        <w:t>OSHRC’s new Rules of Procedure were effective June 10, 2019 and all references contained herein refer to these revised Rules.  Rules of Procedure, 84 Fed. Reg. 14554 (April 10, 2019) (to be codified at 29 C.F.R. pt. 2200).  (</w:t>
      </w:r>
      <w:hyperlink r:id="rId1" w:history="1">
        <w:r w:rsidR="004D7F95" w:rsidRPr="00CE7FBF">
          <w:rPr>
            <w:rStyle w:val="Hyperlink"/>
            <w:rFonts w:ascii="Times New Roman" w:hAnsi="Times New Roman" w:cs="Times New Roman"/>
            <w:sz w:val="22"/>
            <w:szCs w:val="22"/>
          </w:rPr>
          <w:t>https://www.federalregister.gov/documents/2019/04/10/2019-06581/rules-of-procedure</w:t>
        </w:r>
      </w:hyperlink>
      <w:r w:rsidR="004D7F95" w:rsidRPr="00CE7FBF">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270A8"/>
    <w:multiLevelType w:val="hybridMultilevel"/>
    <w:tmpl w:val="93104B0E"/>
    <w:lvl w:ilvl="0" w:tplc="D2CC52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20"/>
    <w:rsid w:val="000F2DF3"/>
    <w:rsid w:val="001766BC"/>
    <w:rsid w:val="001A064E"/>
    <w:rsid w:val="002B2C8A"/>
    <w:rsid w:val="003435B2"/>
    <w:rsid w:val="0044454A"/>
    <w:rsid w:val="004B590A"/>
    <w:rsid w:val="004D7F95"/>
    <w:rsid w:val="005D674B"/>
    <w:rsid w:val="005D6DF1"/>
    <w:rsid w:val="00632420"/>
    <w:rsid w:val="007577A1"/>
    <w:rsid w:val="007B7CE5"/>
    <w:rsid w:val="008F4873"/>
    <w:rsid w:val="0093058F"/>
    <w:rsid w:val="009660DA"/>
    <w:rsid w:val="009767BC"/>
    <w:rsid w:val="009D67FA"/>
    <w:rsid w:val="00A5475F"/>
    <w:rsid w:val="00B6042C"/>
    <w:rsid w:val="00CB283B"/>
    <w:rsid w:val="00CE7FBF"/>
    <w:rsid w:val="00CF6C7C"/>
    <w:rsid w:val="00EE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12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2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420"/>
    <w:pPr>
      <w:autoSpaceDE/>
      <w:autoSpaceDN/>
      <w:adjustRightInd/>
      <w:spacing w:after="200" w:line="276" w:lineRule="auto"/>
      <w:ind w:left="720"/>
      <w:contextualSpacing/>
    </w:pPr>
    <w:rPr>
      <w:rFonts w:asciiTheme="minorHAnsi" w:hAnsiTheme="minorHAnsi" w:cstheme="minorBidi"/>
      <w:sz w:val="24"/>
      <w:szCs w:val="24"/>
    </w:rPr>
  </w:style>
  <w:style w:type="paragraph" w:styleId="Footer">
    <w:name w:val="footer"/>
    <w:basedOn w:val="Normal"/>
    <w:link w:val="FooterChar"/>
    <w:uiPriority w:val="99"/>
    <w:unhideWhenUsed/>
    <w:rsid w:val="00632420"/>
    <w:pPr>
      <w:tabs>
        <w:tab w:val="center" w:pos="4680"/>
        <w:tab w:val="right" w:pos="9360"/>
      </w:tabs>
    </w:pPr>
  </w:style>
  <w:style w:type="character" w:customStyle="1" w:styleId="FooterChar">
    <w:name w:val="Footer Char"/>
    <w:basedOn w:val="DefaultParagraphFont"/>
    <w:link w:val="Footer"/>
    <w:uiPriority w:val="99"/>
    <w:rsid w:val="00632420"/>
    <w:rPr>
      <w:rFonts w:ascii="Times New Roman" w:hAnsi="Times New Roman" w:cs="Times New Roman"/>
      <w:sz w:val="20"/>
      <w:szCs w:val="20"/>
    </w:rPr>
  </w:style>
  <w:style w:type="paragraph" w:styleId="FootnoteText">
    <w:name w:val="footnote text"/>
    <w:basedOn w:val="Normal"/>
    <w:link w:val="FootnoteTextChar"/>
    <w:uiPriority w:val="99"/>
    <w:unhideWhenUsed/>
    <w:rsid w:val="00632420"/>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rsid w:val="00632420"/>
    <w:rPr>
      <w:sz w:val="20"/>
      <w:szCs w:val="20"/>
    </w:rPr>
  </w:style>
  <w:style w:type="character" w:styleId="FootnoteReference">
    <w:name w:val="footnote reference"/>
    <w:basedOn w:val="DefaultParagraphFont"/>
    <w:uiPriority w:val="99"/>
    <w:semiHidden/>
    <w:unhideWhenUsed/>
    <w:rsid w:val="00632420"/>
    <w:rPr>
      <w:vertAlign w:val="superscript"/>
    </w:rPr>
  </w:style>
  <w:style w:type="character" w:styleId="Hyperlink">
    <w:name w:val="Hyperlink"/>
    <w:basedOn w:val="DefaultParagraphFont"/>
    <w:uiPriority w:val="99"/>
    <w:unhideWhenUsed/>
    <w:rsid w:val="008F4873"/>
    <w:rPr>
      <w:color w:val="0563C1" w:themeColor="hyperlink"/>
      <w:u w:val="single"/>
    </w:rPr>
  </w:style>
  <w:style w:type="character" w:styleId="UnresolvedMention">
    <w:name w:val="Unresolved Mention"/>
    <w:basedOn w:val="DefaultParagraphFont"/>
    <w:uiPriority w:val="99"/>
    <w:semiHidden/>
    <w:unhideWhenUsed/>
    <w:rsid w:val="008F4873"/>
    <w:rPr>
      <w:color w:val="605E5C"/>
      <w:shd w:val="clear" w:color="auto" w:fill="E1DFDD"/>
    </w:rPr>
  </w:style>
  <w:style w:type="paragraph" w:styleId="Header">
    <w:name w:val="header"/>
    <w:basedOn w:val="Normal"/>
    <w:link w:val="HeaderChar"/>
    <w:uiPriority w:val="99"/>
    <w:unhideWhenUsed/>
    <w:rsid w:val="000F2DF3"/>
    <w:pPr>
      <w:tabs>
        <w:tab w:val="center" w:pos="4680"/>
        <w:tab w:val="right" w:pos="9360"/>
      </w:tabs>
    </w:pPr>
  </w:style>
  <w:style w:type="character" w:customStyle="1" w:styleId="HeaderChar">
    <w:name w:val="Header Char"/>
    <w:basedOn w:val="DefaultParagraphFont"/>
    <w:link w:val="Header"/>
    <w:uiPriority w:val="99"/>
    <w:rsid w:val="000F2DF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F2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DF3"/>
    <w:rPr>
      <w:rFonts w:ascii="Segoe UI" w:hAnsi="Segoe UI" w:cs="Segoe UI"/>
      <w:sz w:val="18"/>
      <w:szCs w:val="18"/>
    </w:rPr>
  </w:style>
  <w:style w:type="character" w:styleId="CommentReference">
    <w:name w:val="annotation reference"/>
    <w:basedOn w:val="DefaultParagraphFont"/>
    <w:uiPriority w:val="99"/>
    <w:semiHidden/>
    <w:unhideWhenUsed/>
    <w:rsid w:val="00CF6C7C"/>
    <w:rPr>
      <w:sz w:val="16"/>
      <w:szCs w:val="16"/>
    </w:rPr>
  </w:style>
  <w:style w:type="paragraph" w:styleId="CommentText">
    <w:name w:val="annotation text"/>
    <w:basedOn w:val="Normal"/>
    <w:link w:val="CommentTextChar"/>
    <w:uiPriority w:val="99"/>
    <w:semiHidden/>
    <w:unhideWhenUsed/>
    <w:rsid w:val="00CF6C7C"/>
  </w:style>
  <w:style w:type="character" w:customStyle="1" w:styleId="CommentTextChar">
    <w:name w:val="Comment Text Char"/>
    <w:basedOn w:val="DefaultParagraphFont"/>
    <w:link w:val="CommentText"/>
    <w:uiPriority w:val="99"/>
    <w:semiHidden/>
    <w:rsid w:val="00CF6C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C7C"/>
    <w:rPr>
      <w:b/>
      <w:bCs/>
    </w:rPr>
  </w:style>
  <w:style w:type="character" w:customStyle="1" w:styleId="CommentSubjectChar">
    <w:name w:val="Comment Subject Char"/>
    <w:basedOn w:val="CommentTextChar"/>
    <w:link w:val="CommentSubject"/>
    <w:uiPriority w:val="99"/>
    <w:semiHidden/>
    <w:rsid w:val="00CF6C7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4/10/2019-06581/rules-of-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3295</Characters>
  <Application>Microsoft Office Word</Application>
  <DocSecurity>4</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2019-06-05T12:19:00Z</dcterms:created>
  <dcterms:modified xsi:type="dcterms:W3CDTF">2019-06-05T12:19:00Z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